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2EA61" w14:textId="77777777" w:rsidR="00A266EB" w:rsidRDefault="00A266EB" w:rsidP="00A266EB">
      <w:pPr>
        <w:pStyle w:val="Title"/>
        <w:spacing w:before="240" w:after="240"/>
        <w:jc w:val="left"/>
      </w:pPr>
      <w:r>
        <w:rPr>
          <w:bCs/>
          <w:noProof/>
          <w:lang w:val="fr"/>
        </w:rPr>
        <w:drawing>
          <wp:inline distT="0" distB="0" distL="0" distR="0" wp14:anchorId="0959BF0A" wp14:editId="53029C2D">
            <wp:extent cx="3600450" cy="447675"/>
            <wp:effectExtent l="0" t="0" r="0" b="9525"/>
            <wp:docPr id="1" name="Picture 1" descr="Tribunals Ontario&#10;Tribunaux décisionnels O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bunals Ontario&#10;Tribunaux décisionnels Ontari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600450" cy="447675"/>
                    </a:xfrm>
                    <a:prstGeom prst="rect">
                      <a:avLst/>
                    </a:prstGeom>
                    <a:noFill/>
                    <a:ln>
                      <a:noFill/>
                    </a:ln>
                  </pic:spPr>
                </pic:pic>
              </a:graphicData>
            </a:graphic>
          </wp:inline>
        </w:drawing>
      </w:r>
    </w:p>
    <w:p w14:paraId="31865438" w14:textId="170F7FC1" w:rsidR="00A266EB" w:rsidRDefault="00A266EB" w:rsidP="00A266EB">
      <w:pPr>
        <w:pStyle w:val="Title"/>
        <w:spacing w:before="240" w:after="240"/>
        <w:jc w:val="left"/>
        <w:rPr>
          <w:bCs/>
          <w:lang w:val="fr"/>
        </w:rPr>
      </w:pPr>
      <w:r>
        <w:rPr>
          <w:bCs/>
          <w:lang w:val="fr"/>
        </w:rPr>
        <w:t>Commission de révision de l’évaluation foncière</w:t>
      </w:r>
    </w:p>
    <w:p w14:paraId="48A4D878" w14:textId="77777777" w:rsidR="0051321A" w:rsidRPr="0051321A" w:rsidRDefault="0051321A" w:rsidP="0051321A">
      <w:pPr>
        <w:rPr>
          <w:lang w:val="fr"/>
        </w:rPr>
      </w:pPr>
    </w:p>
    <w:p w14:paraId="2860A85A" w14:textId="22A6CFCF" w:rsidR="00A266EB" w:rsidRDefault="00B14FC9" w:rsidP="0051321A">
      <w:pPr>
        <w:pStyle w:val="Heading1"/>
        <w:spacing w:after="160"/>
        <w:jc w:val="center"/>
        <w:rPr>
          <w:lang w:val="fr-CA"/>
        </w:rPr>
      </w:pPr>
      <w:r>
        <w:rPr>
          <w:lang w:val="fr-CA"/>
        </w:rPr>
        <w:t>Directive de pratique concernant la façon d’interpréter le calendrier des procédures pour les instances générales</w:t>
      </w:r>
    </w:p>
    <w:p w14:paraId="0594FC0D" w14:textId="3B22AE31" w:rsidR="0003744C" w:rsidRDefault="00B14FC9" w:rsidP="00B14FC9">
      <w:pPr>
        <w:pStyle w:val="BodyText"/>
        <w:jc w:val="center"/>
        <w:rPr>
          <w:sz w:val="22"/>
          <w:szCs w:val="20"/>
          <w:lang w:val="fr-CA"/>
        </w:rPr>
      </w:pPr>
      <w:r>
        <w:rPr>
          <w:sz w:val="22"/>
          <w:szCs w:val="20"/>
          <w:lang w:val="fr-CA"/>
        </w:rPr>
        <w:t>(</w:t>
      </w:r>
      <w:proofErr w:type="spellStart"/>
      <w:r>
        <w:rPr>
          <w:sz w:val="22"/>
          <w:szCs w:val="20"/>
          <w:lang w:val="fr-CA"/>
        </w:rPr>
        <w:t>Available</w:t>
      </w:r>
      <w:proofErr w:type="spellEnd"/>
      <w:r>
        <w:rPr>
          <w:sz w:val="22"/>
          <w:szCs w:val="20"/>
          <w:lang w:val="fr-CA"/>
        </w:rPr>
        <w:t xml:space="preserve"> in English)</w:t>
      </w:r>
    </w:p>
    <w:p w14:paraId="3C8158CE" w14:textId="4938A9DB" w:rsidR="00B14FC9" w:rsidRDefault="00B14FC9" w:rsidP="00B14FC9">
      <w:pPr>
        <w:pStyle w:val="BodyText"/>
        <w:jc w:val="center"/>
        <w:rPr>
          <w:sz w:val="22"/>
          <w:szCs w:val="20"/>
          <w:lang w:val="fr-CA"/>
        </w:rPr>
      </w:pPr>
    </w:p>
    <w:p w14:paraId="1DD91A4A" w14:textId="7EC1FAA2" w:rsidR="00B14FC9" w:rsidRDefault="00B14FC9" w:rsidP="00B14FC9">
      <w:pPr>
        <w:pStyle w:val="BodyText"/>
        <w:rPr>
          <w:b/>
          <w:bCs/>
          <w:lang w:val="fr-CA"/>
        </w:rPr>
      </w:pPr>
      <w:r>
        <w:rPr>
          <w:b/>
          <w:bCs/>
          <w:lang w:val="fr-CA"/>
        </w:rPr>
        <w:t xml:space="preserve">En vigueur </w:t>
      </w:r>
      <w:r w:rsidR="0051321A">
        <w:rPr>
          <w:b/>
          <w:bCs/>
          <w:lang w:val="fr-CA"/>
        </w:rPr>
        <w:t>le 1</w:t>
      </w:r>
      <w:r w:rsidR="0051321A" w:rsidRPr="0051321A">
        <w:rPr>
          <w:b/>
          <w:bCs/>
          <w:vertAlign w:val="superscript"/>
          <w:lang w:val="fr-CA"/>
        </w:rPr>
        <w:t>er</w:t>
      </w:r>
      <w:r w:rsidR="0051321A">
        <w:rPr>
          <w:b/>
          <w:bCs/>
          <w:lang w:val="fr-CA"/>
        </w:rPr>
        <w:t xml:space="preserve"> avril 2021</w:t>
      </w:r>
    </w:p>
    <w:p w14:paraId="72B90B44" w14:textId="77777777" w:rsidR="0051321A" w:rsidRPr="00B14FC9" w:rsidRDefault="0051321A" w:rsidP="00B14FC9">
      <w:pPr>
        <w:pStyle w:val="BodyText"/>
        <w:rPr>
          <w:b/>
          <w:bCs/>
          <w:lang w:val="fr-CA"/>
        </w:rPr>
      </w:pPr>
    </w:p>
    <w:p w14:paraId="68F087AD" w14:textId="3AC07D55" w:rsidR="002B5962" w:rsidRPr="0003744C" w:rsidRDefault="003C62FB" w:rsidP="0051321A">
      <w:pPr>
        <w:pStyle w:val="Title"/>
        <w:spacing w:after="160"/>
        <w:jc w:val="left"/>
      </w:pPr>
      <w:r w:rsidRPr="0003744C">
        <w:t>Exigences de la Commission concernant :</w:t>
      </w:r>
    </w:p>
    <w:p w14:paraId="6C446B7D" w14:textId="139701B6" w:rsidR="002B5962" w:rsidRPr="00C82DE5" w:rsidRDefault="003C62FB" w:rsidP="002B5962">
      <w:pPr>
        <w:pStyle w:val="ListParagraph"/>
        <w:widowControl w:val="0"/>
        <w:numPr>
          <w:ilvl w:val="0"/>
          <w:numId w:val="9"/>
        </w:numPr>
        <w:tabs>
          <w:tab w:val="left" w:pos="820"/>
          <w:tab w:val="left" w:pos="821"/>
        </w:tabs>
        <w:autoSpaceDE w:val="0"/>
        <w:autoSpaceDN w:val="0"/>
        <w:spacing w:before="180" w:after="0" w:line="240" w:lineRule="auto"/>
        <w:ind w:hanging="361"/>
        <w:contextualSpacing w:val="0"/>
        <w:rPr>
          <w:rFonts w:ascii="Arial" w:hAnsi="Arial" w:cs="Arial"/>
          <w:sz w:val="24"/>
          <w:szCs w:val="24"/>
          <w:lang w:val="fr-CA"/>
        </w:rPr>
      </w:pPr>
      <w:r w:rsidRPr="00C82DE5">
        <w:rPr>
          <w:rFonts w:ascii="Arial" w:hAnsi="Arial" w:cs="Arial"/>
          <w:sz w:val="24"/>
          <w:szCs w:val="24"/>
          <w:lang w:val="fr-CA"/>
        </w:rPr>
        <w:t>le respect des dates d’échéance;</w:t>
      </w:r>
    </w:p>
    <w:p w14:paraId="6D279341" w14:textId="127EEEDB" w:rsidR="002B5962" w:rsidRPr="00C82DE5" w:rsidRDefault="003C62FB" w:rsidP="002B5962">
      <w:pPr>
        <w:pStyle w:val="ListParagraph"/>
        <w:widowControl w:val="0"/>
        <w:numPr>
          <w:ilvl w:val="0"/>
          <w:numId w:val="9"/>
        </w:numPr>
        <w:tabs>
          <w:tab w:val="left" w:pos="820"/>
          <w:tab w:val="left" w:pos="821"/>
        </w:tabs>
        <w:autoSpaceDE w:val="0"/>
        <w:autoSpaceDN w:val="0"/>
        <w:spacing w:before="21" w:after="0" w:line="240" w:lineRule="auto"/>
        <w:ind w:right="429"/>
        <w:contextualSpacing w:val="0"/>
        <w:rPr>
          <w:rFonts w:ascii="Arial" w:hAnsi="Arial" w:cs="Arial"/>
          <w:sz w:val="24"/>
          <w:szCs w:val="24"/>
          <w:lang w:val="fr-CA"/>
        </w:rPr>
      </w:pPr>
      <w:r w:rsidRPr="00C82DE5">
        <w:rPr>
          <w:rFonts w:ascii="Arial" w:hAnsi="Arial" w:cs="Arial"/>
          <w:sz w:val="24"/>
          <w:szCs w:val="24"/>
          <w:lang w:val="fr-CA"/>
        </w:rPr>
        <w:t>la p</w:t>
      </w:r>
      <w:r w:rsidR="002B5962" w:rsidRPr="00C82DE5">
        <w:rPr>
          <w:rFonts w:ascii="Arial" w:hAnsi="Arial" w:cs="Arial"/>
          <w:sz w:val="24"/>
          <w:szCs w:val="24"/>
          <w:lang w:val="fr-CA"/>
        </w:rPr>
        <w:t>r</w:t>
      </w:r>
      <w:r w:rsidRPr="00C82DE5">
        <w:rPr>
          <w:rFonts w:ascii="Arial" w:hAnsi="Arial" w:cs="Arial"/>
          <w:sz w:val="24"/>
          <w:szCs w:val="24"/>
          <w:lang w:val="fr-CA"/>
        </w:rPr>
        <w:t>é</w:t>
      </w:r>
      <w:r w:rsidR="002B5962" w:rsidRPr="00C82DE5">
        <w:rPr>
          <w:rFonts w:ascii="Arial" w:hAnsi="Arial" w:cs="Arial"/>
          <w:sz w:val="24"/>
          <w:szCs w:val="24"/>
          <w:lang w:val="fr-CA"/>
        </w:rPr>
        <w:t xml:space="preserve">paration </w:t>
      </w:r>
      <w:r w:rsidRPr="00C82DE5">
        <w:rPr>
          <w:rFonts w:ascii="Arial" w:hAnsi="Arial" w:cs="Arial"/>
          <w:sz w:val="24"/>
          <w:szCs w:val="24"/>
          <w:lang w:val="fr-CA"/>
        </w:rPr>
        <w:t>de</w:t>
      </w:r>
      <w:r w:rsidR="00332F9B">
        <w:rPr>
          <w:rFonts w:ascii="Arial" w:hAnsi="Arial" w:cs="Arial"/>
          <w:sz w:val="24"/>
          <w:szCs w:val="24"/>
          <w:lang w:val="fr-CA"/>
        </w:rPr>
        <w:t xml:space="preserve">s </w:t>
      </w:r>
      <w:r w:rsidRPr="00C82DE5">
        <w:rPr>
          <w:rFonts w:ascii="Arial" w:hAnsi="Arial" w:cs="Arial"/>
          <w:sz w:val="24"/>
          <w:szCs w:val="24"/>
          <w:lang w:val="fr-CA"/>
        </w:rPr>
        <w:t>exposé</w:t>
      </w:r>
      <w:r w:rsidR="00332F9B">
        <w:rPr>
          <w:rFonts w:ascii="Arial" w:hAnsi="Arial" w:cs="Arial"/>
          <w:sz w:val="24"/>
          <w:szCs w:val="24"/>
          <w:lang w:val="fr-CA"/>
        </w:rPr>
        <w:t>s</w:t>
      </w:r>
      <w:r w:rsidRPr="00C82DE5">
        <w:rPr>
          <w:rFonts w:ascii="Arial" w:hAnsi="Arial" w:cs="Arial"/>
          <w:sz w:val="24"/>
          <w:szCs w:val="24"/>
          <w:lang w:val="fr-CA"/>
        </w:rPr>
        <w:t xml:space="preserve"> des questions </w:t>
      </w:r>
      <w:r w:rsidR="00F04E9E" w:rsidRPr="00C82DE5">
        <w:rPr>
          <w:rFonts w:ascii="Arial" w:hAnsi="Arial" w:cs="Arial"/>
          <w:sz w:val="24"/>
          <w:szCs w:val="24"/>
          <w:lang w:val="fr-CA"/>
        </w:rPr>
        <w:t xml:space="preserve">en litige, </w:t>
      </w:r>
      <w:r w:rsidR="00332F9B">
        <w:rPr>
          <w:rFonts w:ascii="Arial" w:hAnsi="Arial" w:cs="Arial"/>
          <w:sz w:val="24"/>
          <w:szCs w:val="24"/>
          <w:lang w:val="fr-CA"/>
        </w:rPr>
        <w:t>d</w:t>
      </w:r>
      <w:r w:rsidR="00F04E9E" w:rsidRPr="00C82DE5">
        <w:rPr>
          <w:rFonts w:ascii="Arial" w:hAnsi="Arial" w:cs="Arial"/>
          <w:sz w:val="24"/>
          <w:szCs w:val="24"/>
          <w:lang w:val="fr-CA"/>
        </w:rPr>
        <w:t>e réponse et de réplique</w:t>
      </w:r>
    </w:p>
    <w:p w14:paraId="6708866F" w14:textId="449F1668" w:rsidR="002B5962" w:rsidRPr="00D85710" w:rsidRDefault="00F04E9E" w:rsidP="00D85710">
      <w:pPr>
        <w:pStyle w:val="ListParagraph"/>
        <w:widowControl w:val="0"/>
        <w:numPr>
          <w:ilvl w:val="0"/>
          <w:numId w:val="9"/>
        </w:numPr>
        <w:tabs>
          <w:tab w:val="left" w:pos="820"/>
          <w:tab w:val="left" w:pos="821"/>
        </w:tabs>
        <w:autoSpaceDE w:val="0"/>
        <w:autoSpaceDN w:val="0"/>
        <w:spacing w:before="21" w:line="240" w:lineRule="auto"/>
        <w:ind w:left="822" w:right="431" w:hanging="363"/>
        <w:contextualSpacing w:val="0"/>
        <w:rPr>
          <w:rFonts w:ascii="Arial" w:hAnsi="Arial" w:cs="Arial"/>
          <w:sz w:val="24"/>
          <w:szCs w:val="24"/>
          <w:lang w:val="fr-CA"/>
        </w:rPr>
      </w:pPr>
      <w:r w:rsidRPr="00C82DE5">
        <w:rPr>
          <w:rFonts w:ascii="Arial" w:hAnsi="Arial" w:cs="Arial"/>
          <w:sz w:val="24"/>
          <w:szCs w:val="24"/>
          <w:lang w:val="fr-CA"/>
        </w:rPr>
        <w:t xml:space="preserve">l’échange des documents </w:t>
      </w:r>
      <w:r w:rsidR="00332F9B">
        <w:rPr>
          <w:rFonts w:ascii="Arial" w:hAnsi="Arial" w:cs="Arial"/>
          <w:sz w:val="24"/>
          <w:szCs w:val="24"/>
          <w:lang w:val="fr-CA"/>
        </w:rPr>
        <w:t>à divulguer</w:t>
      </w:r>
      <w:r w:rsidR="004F4CB6">
        <w:rPr>
          <w:rFonts w:ascii="Arial" w:hAnsi="Arial" w:cs="Arial"/>
          <w:sz w:val="24"/>
          <w:szCs w:val="24"/>
          <w:lang w:val="fr-CA"/>
        </w:rPr>
        <w:t xml:space="preserve"> </w:t>
      </w:r>
    </w:p>
    <w:p w14:paraId="726EE28E" w14:textId="73943AA5" w:rsidR="0089575F" w:rsidRDefault="0003744C" w:rsidP="0051321A">
      <w:pPr>
        <w:pStyle w:val="Title"/>
        <w:spacing w:after="160"/>
        <w:jc w:val="left"/>
      </w:pPr>
      <w:r w:rsidRPr="00C82DE5">
        <w:t>Introduction</w:t>
      </w:r>
    </w:p>
    <w:p w14:paraId="5E37DC01" w14:textId="22F6640A" w:rsidR="002B5962" w:rsidRPr="00A266EB" w:rsidRDefault="00F04E9E" w:rsidP="0089575F">
      <w:pPr>
        <w:pStyle w:val="BodyText"/>
        <w:rPr>
          <w:lang w:val="fr-CA"/>
        </w:rPr>
      </w:pPr>
      <w:r w:rsidRPr="00A266EB">
        <w:rPr>
          <w:lang w:val="fr-CA"/>
        </w:rPr>
        <w:t xml:space="preserve">La présente ligne directrice vise à </w:t>
      </w:r>
      <w:r w:rsidR="004F4CB6" w:rsidRPr="00A266EB">
        <w:rPr>
          <w:lang w:val="fr-CA"/>
        </w:rPr>
        <w:t xml:space="preserve">fournir une </w:t>
      </w:r>
      <w:r w:rsidRPr="00A266EB">
        <w:rPr>
          <w:lang w:val="fr-CA"/>
        </w:rPr>
        <w:t xml:space="preserve">orientation </w:t>
      </w:r>
      <w:r w:rsidR="004F4CB6" w:rsidRPr="00A266EB">
        <w:rPr>
          <w:lang w:val="fr-CA"/>
        </w:rPr>
        <w:t xml:space="preserve">et des conseils </w:t>
      </w:r>
      <w:r w:rsidRPr="00A266EB">
        <w:rPr>
          <w:lang w:val="fr-CA"/>
        </w:rPr>
        <w:t xml:space="preserve">concernant la mise en œuvre du </w:t>
      </w:r>
      <w:r w:rsidR="004F4CB6" w:rsidRPr="00A266EB">
        <w:rPr>
          <w:lang w:val="fr-CA"/>
        </w:rPr>
        <w:t>calendrier des procédures</w:t>
      </w:r>
      <w:r w:rsidRPr="00A266EB">
        <w:rPr>
          <w:lang w:val="fr-CA"/>
        </w:rPr>
        <w:t xml:space="preserve"> d</w:t>
      </w:r>
      <w:r w:rsidR="004F4CB6" w:rsidRPr="00A266EB">
        <w:rPr>
          <w:lang w:val="fr-CA"/>
        </w:rPr>
        <w:t>a</w:t>
      </w:r>
      <w:r w:rsidRPr="00A266EB">
        <w:rPr>
          <w:lang w:val="fr-CA"/>
        </w:rPr>
        <w:t>n</w:t>
      </w:r>
      <w:r w:rsidR="004F4CB6" w:rsidRPr="00A266EB">
        <w:rPr>
          <w:lang w:val="fr-CA"/>
        </w:rPr>
        <w:t>s</w:t>
      </w:r>
      <w:r w:rsidRPr="00A266EB">
        <w:rPr>
          <w:lang w:val="fr-CA"/>
        </w:rPr>
        <w:t xml:space="preserve"> les appels instruits </w:t>
      </w:r>
      <w:r w:rsidR="004F4CB6" w:rsidRPr="00A266EB">
        <w:rPr>
          <w:lang w:val="fr-CA"/>
        </w:rPr>
        <w:t>par voie d’</w:t>
      </w:r>
      <w:r w:rsidRPr="00A266EB">
        <w:rPr>
          <w:lang w:val="fr-CA"/>
        </w:rPr>
        <w:t>instance générale.</w:t>
      </w:r>
    </w:p>
    <w:p w14:paraId="61689040" w14:textId="77777777" w:rsidR="0089575F" w:rsidRPr="00A266EB" w:rsidRDefault="0089575F" w:rsidP="0089575F">
      <w:pPr>
        <w:pStyle w:val="BodyText"/>
        <w:rPr>
          <w:lang w:val="fr-CA"/>
        </w:rPr>
      </w:pPr>
    </w:p>
    <w:p w14:paraId="4743B261" w14:textId="12E1272D" w:rsidR="00811ED0" w:rsidRDefault="0089575F" w:rsidP="0051321A">
      <w:pPr>
        <w:pStyle w:val="Title"/>
        <w:spacing w:after="160"/>
        <w:jc w:val="left"/>
        <w:rPr>
          <w:lang w:val="fr-CA"/>
        </w:rPr>
      </w:pPr>
      <w:r w:rsidRPr="00C82DE5">
        <w:t xml:space="preserve">Respect </w:t>
      </w:r>
      <w:r w:rsidR="006949EE">
        <w:t>d</w:t>
      </w:r>
      <w:r w:rsidRPr="00C82DE5">
        <w:t xml:space="preserve">es </w:t>
      </w:r>
      <w:r w:rsidR="006949EE">
        <w:t>d</w:t>
      </w:r>
      <w:r w:rsidRPr="00C82DE5">
        <w:t xml:space="preserve">ates </w:t>
      </w:r>
      <w:proofErr w:type="spellStart"/>
      <w:r w:rsidR="006949EE">
        <w:t>d</w:t>
      </w:r>
      <w:r w:rsidRPr="00C82DE5">
        <w:t>’échéance</w:t>
      </w:r>
      <w:proofErr w:type="spellEnd"/>
    </w:p>
    <w:p w14:paraId="141D94C1" w14:textId="57893F06" w:rsidR="002B5962" w:rsidRDefault="008D70C6" w:rsidP="00811ED0">
      <w:pPr>
        <w:pStyle w:val="BodyText"/>
        <w:rPr>
          <w:lang w:val="fr-CA"/>
        </w:rPr>
      </w:pPr>
      <w:r w:rsidRPr="00C82DE5">
        <w:rPr>
          <w:lang w:val="fr-CA"/>
        </w:rPr>
        <w:t>Les p</w:t>
      </w:r>
      <w:r w:rsidR="002B5962" w:rsidRPr="00C82DE5">
        <w:rPr>
          <w:lang w:val="fr-CA"/>
        </w:rPr>
        <w:t xml:space="preserve">arties </w:t>
      </w:r>
      <w:r w:rsidRPr="00C82DE5">
        <w:rPr>
          <w:lang w:val="fr-CA"/>
        </w:rPr>
        <w:t xml:space="preserve">doivent respecter les dates d’échéance figurant dans le </w:t>
      </w:r>
      <w:r w:rsidR="004F4CB6">
        <w:rPr>
          <w:lang w:val="fr-CA"/>
        </w:rPr>
        <w:t>calendrier des procédures</w:t>
      </w:r>
      <w:r w:rsidRPr="00C82DE5">
        <w:rPr>
          <w:lang w:val="fr-CA"/>
        </w:rPr>
        <w:t>. La Commission reconnaît qu’il peut y avoir des cas où une partie a besoi</w:t>
      </w:r>
      <w:r w:rsidR="00E10DF9">
        <w:rPr>
          <w:lang w:val="fr-CA"/>
        </w:rPr>
        <w:t>n d’une courte prorogation de la</w:t>
      </w:r>
      <w:r w:rsidRPr="00C82DE5">
        <w:rPr>
          <w:lang w:val="fr-CA"/>
        </w:rPr>
        <w:t xml:space="preserve"> date d’échéance. Tant et aussi longtemps que toutes les parties conviennent </w:t>
      </w:r>
      <w:r w:rsidR="00101499" w:rsidRPr="00C82DE5">
        <w:rPr>
          <w:lang w:val="fr-CA"/>
        </w:rPr>
        <w:t>que la prorogation ne les empêchera pas de terminer leurs travaux avant l</w:t>
      </w:r>
      <w:r w:rsidR="004F4CB6">
        <w:rPr>
          <w:lang w:val="fr-CA"/>
        </w:rPr>
        <w:t>es</w:t>
      </w:r>
      <w:r w:rsidR="00101499" w:rsidRPr="00C82DE5">
        <w:rPr>
          <w:lang w:val="fr-CA"/>
        </w:rPr>
        <w:t xml:space="preserve"> date</w:t>
      </w:r>
      <w:r w:rsidR="004F4CB6">
        <w:rPr>
          <w:lang w:val="fr-CA"/>
        </w:rPr>
        <w:t>s</w:t>
      </w:r>
      <w:r w:rsidR="00101499" w:rsidRPr="00C82DE5">
        <w:rPr>
          <w:lang w:val="fr-CA"/>
        </w:rPr>
        <w:t xml:space="preserve"> d’échéance fixée</w:t>
      </w:r>
      <w:r w:rsidR="004F4CB6">
        <w:rPr>
          <w:lang w:val="fr-CA"/>
        </w:rPr>
        <w:t>s</w:t>
      </w:r>
      <w:r w:rsidR="00101499" w:rsidRPr="00C82DE5">
        <w:rPr>
          <w:lang w:val="fr-CA"/>
        </w:rPr>
        <w:t xml:space="preserve"> pour la </w:t>
      </w:r>
      <w:r w:rsidR="00C00FC0">
        <w:rPr>
          <w:lang w:val="fr-CA"/>
        </w:rPr>
        <w:t>fin d</w:t>
      </w:r>
      <w:r w:rsidR="00101499" w:rsidRPr="00C82DE5">
        <w:rPr>
          <w:lang w:val="fr-CA"/>
        </w:rPr>
        <w:t xml:space="preserve">e la réunion de règlement obligatoire et </w:t>
      </w:r>
      <w:r w:rsidR="00E10DF9">
        <w:rPr>
          <w:lang w:val="fr-CA"/>
        </w:rPr>
        <w:t xml:space="preserve">pour </w:t>
      </w:r>
      <w:r w:rsidR="00101499" w:rsidRPr="00C82DE5">
        <w:rPr>
          <w:lang w:val="fr-CA"/>
        </w:rPr>
        <w:t>le dépôt des documents, elles peuvent convenir d’une prorogation entre elles.</w:t>
      </w:r>
    </w:p>
    <w:p w14:paraId="354D893E" w14:textId="77777777" w:rsidR="00811ED0" w:rsidRPr="00C82DE5" w:rsidRDefault="00811ED0" w:rsidP="00811ED0">
      <w:pPr>
        <w:pStyle w:val="BodyText"/>
        <w:rPr>
          <w:lang w:val="fr-CA"/>
        </w:rPr>
      </w:pPr>
    </w:p>
    <w:p w14:paraId="1326EE1B" w14:textId="77777777" w:rsidR="00811ED0" w:rsidRDefault="00101499" w:rsidP="00811ED0">
      <w:pPr>
        <w:pStyle w:val="BodyText"/>
        <w:rPr>
          <w:i/>
          <w:lang w:val="fr-CA"/>
        </w:rPr>
      </w:pPr>
      <w:r w:rsidRPr="00C82DE5">
        <w:rPr>
          <w:lang w:val="fr-CA"/>
        </w:rPr>
        <w:t xml:space="preserve">Les </w:t>
      </w:r>
      <w:r w:rsidR="00C82DE5">
        <w:rPr>
          <w:lang w:val="fr-CA"/>
        </w:rPr>
        <w:t xml:space="preserve">modifications </w:t>
      </w:r>
      <w:r w:rsidRPr="00C82DE5">
        <w:rPr>
          <w:lang w:val="fr-CA"/>
        </w:rPr>
        <w:t xml:space="preserve">des dates d’échéance </w:t>
      </w:r>
      <w:r w:rsidR="004F4CB6">
        <w:rPr>
          <w:lang w:val="fr-CA"/>
        </w:rPr>
        <w:t xml:space="preserve">auxquelles les parties consentent </w:t>
      </w:r>
      <w:r w:rsidRPr="00C82DE5">
        <w:rPr>
          <w:lang w:val="fr-CA"/>
        </w:rPr>
        <w:t xml:space="preserve">ne nécessitent pas l’approbation de la Commission, </w:t>
      </w:r>
      <w:r w:rsidRPr="00C82DE5">
        <w:rPr>
          <w:i/>
          <w:lang w:val="fr-CA"/>
        </w:rPr>
        <w:t>sauf en ce qui concerne l</w:t>
      </w:r>
      <w:r w:rsidR="004F4CB6">
        <w:rPr>
          <w:i/>
          <w:lang w:val="fr-CA"/>
        </w:rPr>
        <w:t>es</w:t>
      </w:r>
      <w:r w:rsidRPr="00C82DE5">
        <w:rPr>
          <w:i/>
          <w:lang w:val="fr-CA"/>
        </w:rPr>
        <w:t xml:space="preserve"> date</w:t>
      </w:r>
      <w:r w:rsidR="004F4CB6">
        <w:rPr>
          <w:i/>
          <w:lang w:val="fr-CA"/>
        </w:rPr>
        <w:t xml:space="preserve">s </w:t>
      </w:r>
      <w:r w:rsidRPr="00C82DE5">
        <w:rPr>
          <w:i/>
          <w:lang w:val="fr-CA"/>
        </w:rPr>
        <w:t>d’échéance fixée</w:t>
      </w:r>
      <w:r w:rsidR="004F4CB6">
        <w:rPr>
          <w:i/>
          <w:lang w:val="fr-CA"/>
        </w:rPr>
        <w:t>s</w:t>
      </w:r>
      <w:r w:rsidRPr="00C82DE5">
        <w:rPr>
          <w:i/>
          <w:lang w:val="fr-CA"/>
        </w:rPr>
        <w:t xml:space="preserve"> pour la </w:t>
      </w:r>
      <w:r w:rsidR="004F4CB6">
        <w:rPr>
          <w:i/>
          <w:lang w:val="fr-CA"/>
        </w:rPr>
        <w:t xml:space="preserve">fin </w:t>
      </w:r>
      <w:r w:rsidRPr="00C82DE5">
        <w:rPr>
          <w:i/>
          <w:lang w:val="fr-CA"/>
        </w:rPr>
        <w:t>de la réunion obligatoire</w:t>
      </w:r>
      <w:r w:rsidR="004F4CB6">
        <w:rPr>
          <w:i/>
          <w:lang w:val="fr-CA"/>
        </w:rPr>
        <w:t xml:space="preserve"> et</w:t>
      </w:r>
      <w:r w:rsidRPr="00C82DE5">
        <w:rPr>
          <w:i/>
          <w:lang w:val="fr-CA"/>
        </w:rPr>
        <w:t xml:space="preserve"> le dépôt de la reconnaissance du devoir de l’expert ainsi que des documents qui seront invoqués à l’audience.</w:t>
      </w:r>
    </w:p>
    <w:p w14:paraId="332B971C" w14:textId="507E2A3B" w:rsidR="002B5962" w:rsidRPr="00C82DE5" w:rsidRDefault="00101499" w:rsidP="00811ED0">
      <w:pPr>
        <w:pStyle w:val="BodyText"/>
        <w:rPr>
          <w:b/>
          <w:i/>
          <w:lang w:val="fr-CA"/>
        </w:rPr>
      </w:pPr>
      <w:r w:rsidRPr="00C82DE5">
        <w:rPr>
          <w:i/>
          <w:lang w:val="fr-CA"/>
        </w:rPr>
        <w:t xml:space="preserve"> </w:t>
      </w:r>
    </w:p>
    <w:p w14:paraId="2E45B502" w14:textId="1E516727" w:rsidR="00EE5367" w:rsidRPr="00A266EB" w:rsidRDefault="00811ED0" w:rsidP="0051321A">
      <w:pPr>
        <w:pStyle w:val="Title"/>
        <w:spacing w:after="160"/>
        <w:jc w:val="left"/>
        <w:rPr>
          <w:lang w:val="fr-CA"/>
        </w:rPr>
      </w:pPr>
      <w:bookmarkStart w:id="0" w:name="_Hlk68592605"/>
      <w:r w:rsidRPr="006949EE">
        <w:rPr>
          <w:lang w:val="fr-CA"/>
        </w:rPr>
        <w:t xml:space="preserve">Exposés </w:t>
      </w:r>
      <w:r w:rsidR="006949EE" w:rsidRPr="006949EE">
        <w:rPr>
          <w:lang w:val="fr-CA"/>
        </w:rPr>
        <w:t>d</w:t>
      </w:r>
      <w:r w:rsidRPr="006949EE">
        <w:rPr>
          <w:lang w:val="fr-CA"/>
        </w:rPr>
        <w:t xml:space="preserve">es </w:t>
      </w:r>
      <w:r w:rsidR="006949EE">
        <w:rPr>
          <w:lang w:val="fr-CA"/>
        </w:rPr>
        <w:t>q</w:t>
      </w:r>
      <w:r w:rsidRPr="006949EE">
        <w:rPr>
          <w:lang w:val="fr-CA"/>
        </w:rPr>
        <w:t xml:space="preserve">uestions </w:t>
      </w:r>
      <w:r w:rsidR="006949EE">
        <w:rPr>
          <w:lang w:val="fr-CA"/>
        </w:rPr>
        <w:t>e</w:t>
      </w:r>
      <w:r w:rsidRPr="006949EE">
        <w:rPr>
          <w:lang w:val="fr-CA"/>
        </w:rPr>
        <w:t xml:space="preserve">n </w:t>
      </w:r>
      <w:r w:rsidR="006949EE">
        <w:rPr>
          <w:lang w:val="fr-CA"/>
        </w:rPr>
        <w:t>l</w:t>
      </w:r>
      <w:r w:rsidRPr="006949EE">
        <w:rPr>
          <w:lang w:val="fr-CA"/>
        </w:rPr>
        <w:t xml:space="preserve">itige, </w:t>
      </w:r>
      <w:r w:rsidR="006949EE">
        <w:rPr>
          <w:lang w:val="fr-CA"/>
        </w:rPr>
        <w:t>d</w:t>
      </w:r>
      <w:r w:rsidRPr="006949EE">
        <w:rPr>
          <w:lang w:val="fr-CA"/>
        </w:rPr>
        <w:t xml:space="preserve">e </w:t>
      </w:r>
      <w:r w:rsidR="006949EE">
        <w:rPr>
          <w:lang w:val="fr-CA"/>
        </w:rPr>
        <w:t>r</w:t>
      </w:r>
      <w:r w:rsidRPr="006949EE">
        <w:rPr>
          <w:lang w:val="fr-CA"/>
        </w:rPr>
        <w:t xml:space="preserve">éponse </w:t>
      </w:r>
      <w:r w:rsidR="006949EE">
        <w:rPr>
          <w:lang w:val="fr-CA"/>
        </w:rPr>
        <w:t>e</w:t>
      </w:r>
      <w:r w:rsidRPr="006949EE">
        <w:rPr>
          <w:lang w:val="fr-CA"/>
        </w:rPr>
        <w:t xml:space="preserve">t </w:t>
      </w:r>
      <w:r w:rsidR="006949EE">
        <w:rPr>
          <w:lang w:val="fr-CA"/>
        </w:rPr>
        <w:t>d</w:t>
      </w:r>
      <w:r w:rsidRPr="006949EE">
        <w:rPr>
          <w:lang w:val="fr-CA"/>
        </w:rPr>
        <w:t xml:space="preserve">e </w:t>
      </w:r>
      <w:r w:rsidR="006949EE">
        <w:rPr>
          <w:lang w:val="fr-CA"/>
        </w:rPr>
        <w:t>r</w:t>
      </w:r>
      <w:r w:rsidRPr="006949EE">
        <w:rPr>
          <w:lang w:val="fr-CA"/>
        </w:rPr>
        <w:t>éplique</w:t>
      </w:r>
      <w:bookmarkEnd w:id="0"/>
    </w:p>
    <w:p w14:paraId="79617296" w14:textId="40AAE634" w:rsidR="00EE6A7E" w:rsidRDefault="00101499" w:rsidP="00EE6A7E">
      <w:pPr>
        <w:pStyle w:val="BodyText"/>
        <w:rPr>
          <w:lang w:val="fr-CA"/>
        </w:rPr>
      </w:pPr>
      <w:r w:rsidRPr="00A266EB">
        <w:rPr>
          <w:lang w:val="fr-CA"/>
        </w:rPr>
        <w:t xml:space="preserve">Les exposés des questions en litige, de réponse et de réplique doivent respecter </w:t>
      </w:r>
      <w:r w:rsidR="004F4CB6" w:rsidRPr="00A266EB">
        <w:rPr>
          <w:lang w:val="fr-CA"/>
        </w:rPr>
        <w:t xml:space="preserve">les exigences </w:t>
      </w:r>
      <w:r w:rsidRPr="00A266EB">
        <w:rPr>
          <w:lang w:val="fr-CA"/>
        </w:rPr>
        <w:t xml:space="preserve">la </w:t>
      </w:r>
      <w:r w:rsidR="004F4CB6" w:rsidRPr="00A266EB">
        <w:rPr>
          <w:lang w:val="fr-CA"/>
        </w:rPr>
        <w:t>r</w:t>
      </w:r>
      <w:r w:rsidRPr="00A266EB">
        <w:rPr>
          <w:lang w:val="fr-CA"/>
        </w:rPr>
        <w:t xml:space="preserve">ègle 43. </w:t>
      </w:r>
      <w:r w:rsidR="00CF29D1" w:rsidRPr="00A266EB">
        <w:rPr>
          <w:lang w:val="fr-CA"/>
        </w:rPr>
        <w:t xml:space="preserve">La présente ligne directrice précise les exigences de la </w:t>
      </w:r>
      <w:r w:rsidR="00CF29D1" w:rsidRPr="00A266EB">
        <w:rPr>
          <w:lang w:val="fr-CA"/>
        </w:rPr>
        <w:lastRenderedPageBreak/>
        <w:t>Commission à l’égard de ces documents</w:t>
      </w:r>
      <w:r w:rsidR="0024775B" w:rsidRPr="00A266EB">
        <w:rPr>
          <w:lang w:val="fr-CA"/>
        </w:rPr>
        <w:t>,</w:t>
      </w:r>
      <w:r w:rsidR="00CF29D1" w:rsidRPr="00A266EB">
        <w:rPr>
          <w:lang w:val="fr-CA"/>
        </w:rPr>
        <w:t xml:space="preserve"> </w:t>
      </w:r>
      <w:r w:rsidR="004F4CB6" w:rsidRPr="00A266EB">
        <w:rPr>
          <w:lang w:val="fr-CA"/>
        </w:rPr>
        <w:t xml:space="preserve">qui ont pour objet de cerner </w:t>
      </w:r>
      <w:r w:rsidR="00CF29D1" w:rsidRPr="00A266EB">
        <w:rPr>
          <w:lang w:val="fr-CA"/>
        </w:rPr>
        <w:t>les questions qui sont en litige.</w:t>
      </w:r>
    </w:p>
    <w:p w14:paraId="774E27F0" w14:textId="77777777" w:rsidR="006949EE" w:rsidRPr="00A266EB" w:rsidRDefault="006949EE" w:rsidP="00EE6A7E">
      <w:pPr>
        <w:pStyle w:val="BodyText"/>
        <w:rPr>
          <w:lang w:val="fr-CA"/>
        </w:rPr>
      </w:pPr>
    </w:p>
    <w:p w14:paraId="6ACC1FBF" w14:textId="72AEDB1B" w:rsidR="00EE6A7E" w:rsidRPr="00B14FC9" w:rsidRDefault="00CF29D1" w:rsidP="0051321A">
      <w:pPr>
        <w:pStyle w:val="Title"/>
        <w:spacing w:after="160"/>
        <w:jc w:val="left"/>
        <w:rPr>
          <w:lang w:val="fr-CA"/>
        </w:rPr>
      </w:pPr>
      <w:r w:rsidRPr="00C82DE5">
        <w:t xml:space="preserve">Exposé des questions </w:t>
      </w:r>
      <w:proofErr w:type="spellStart"/>
      <w:r w:rsidRPr="00C82DE5">
        <w:t>en</w:t>
      </w:r>
      <w:proofErr w:type="spellEnd"/>
      <w:r w:rsidRPr="00C82DE5">
        <w:t xml:space="preserve"> </w:t>
      </w:r>
      <w:proofErr w:type="spellStart"/>
      <w:r w:rsidRPr="00C82DE5">
        <w:t>litige</w:t>
      </w:r>
      <w:proofErr w:type="spellEnd"/>
    </w:p>
    <w:p w14:paraId="5FA86E39" w14:textId="04CA953E" w:rsidR="002B5962" w:rsidRPr="00A266EB" w:rsidRDefault="00CF29D1" w:rsidP="00EE6A7E">
      <w:pPr>
        <w:pStyle w:val="BodyText"/>
        <w:rPr>
          <w:lang w:val="fr-CA"/>
        </w:rPr>
      </w:pPr>
      <w:r w:rsidRPr="00A266EB">
        <w:rPr>
          <w:lang w:val="fr-CA"/>
        </w:rPr>
        <w:t>L’exposé des questions en litige est préparé par l’appelant et énonce</w:t>
      </w:r>
      <w:r w:rsidR="006E600B" w:rsidRPr="00A266EB">
        <w:rPr>
          <w:lang w:val="fr-CA"/>
        </w:rPr>
        <w:t xml:space="preserve"> ou comporte</w:t>
      </w:r>
      <w:r w:rsidRPr="00A266EB">
        <w:rPr>
          <w:lang w:val="fr-CA"/>
        </w:rPr>
        <w:t> :</w:t>
      </w:r>
    </w:p>
    <w:p w14:paraId="5B997CF0" w14:textId="6771E3EF" w:rsidR="002B5962" w:rsidRPr="00C82DE5" w:rsidRDefault="00CF29D1" w:rsidP="002B5962">
      <w:pPr>
        <w:pStyle w:val="ListParagraph"/>
        <w:widowControl w:val="0"/>
        <w:numPr>
          <w:ilvl w:val="0"/>
          <w:numId w:val="9"/>
        </w:numPr>
        <w:tabs>
          <w:tab w:val="left" w:pos="880"/>
          <w:tab w:val="left" w:pos="881"/>
        </w:tabs>
        <w:autoSpaceDE w:val="0"/>
        <w:autoSpaceDN w:val="0"/>
        <w:spacing w:before="229" w:after="0" w:line="240" w:lineRule="auto"/>
        <w:ind w:left="880" w:right="435"/>
        <w:contextualSpacing w:val="0"/>
        <w:rPr>
          <w:rFonts w:ascii="Arial" w:hAnsi="Arial" w:cs="Arial"/>
          <w:bCs/>
          <w:sz w:val="24"/>
          <w:szCs w:val="24"/>
          <w:lang w:val="fr-CA"/>
        </w:rPr>
      </w:pPr>
      <w:r w:rsidRPr="00C82DE5">
        <w:rPr>
          <w:rFonts w:ascii="Arial" w:hAnsi="Arial" w:cs="Arial"/>
          <w:bCs/>
          <w:sz w:val="24"/>
          <w:szCs w:val="24"/>
          <w:lang w:val="fr-CA"/>
        </w:rPr>
        <w:t>la</w:t>
      </w:r>
      <w:r w:rsidR="002B5962" w:rsidRPr="00C82DE5">
        <w:rPr>
          <w:rFonts w:ascii="Arial" w:hAnsi="Arial" w:cs="Arial"/>
          <w:bCs/>
          <w:sz w:val="24"/>
          <w:szCs w:val="24"/>
          <w:lang w:val="fr-CA"/>
        </w:rPr>
        <w:t xml:space="preserve"> position </w:t>
      </w:r>
      <w:r w:rsidRPr="00C82DE5">
        <w:rPr>
          <w:rFonts w:ascii="Arial" w:hAnsi="Arial" w:cs="Arial"/>
          <w:bCs/>
          <w:sz w:val="24"/>
          <w:szCs w:val="24"/>
          <w:lang w:val="fr-CA"/>
        </w:rPr>
        <w:t xml:space="preserve">de l’appelant sur les moyens d’appel prévus par </w:t>
      </w:r>
      <w:r w:rsidR="006E600B">
        <w:rPr>
          <w:rFonts w:ascii="Arial" w:hAnsi="Arial" w:cs="Arial"/>
          <w:bCs/>
          <w:sz w:val="24"/>
          <w:szCs w:val="24"/>
          <w:lang w:val="fr-CA"/>
        </w:rPr>
        <w:t>la</w:t>
      </w:r>
      <w:r w:rsidRPr="00C82DE5">
        <w:rPr>
          <w:rFonts w:ascii="Arial" w:hAnsi="Arial" w:cs="Arial"/>
          <w:bCs/>
          <w:sz w:val="24"/>
          <w:szCs w:val="24"/>
          <w:lang w:val="fr-CA"/>
        </w:rPr>
        <w:t xml:space="preserve"> loi (</w:t>
      </w:r>
      <w:r w:rsidR="00606757" w:rsidRPr="00C82DE5">
        <w:rPr>
          <w:rFonts w:ascii="Arial" w:hAnsi="Arial" w:cs="Arial"/>
          <w:bCs/>
          <w:sz w:val="24"/>
          <w:szCs w:val="24"/>
          <w:lang w:val="fr-CA"/>
        </w:rPr>
        <w:t>par exemple</w:t>
      </w:r>
      <w:r w:rsidRPr="00C82DE5">
        <w:rPr>
          <w:rFonts w:ascii="Arial" w:hAnsi="Arial" w:cs="Arial"/>
          <w:bCs/>
          <w:sz w:val="24"/>
          <w:szCs w:val="24"/>
          <w:lang w:val="fr-CA"/>
        </w:rPr>
        <w:t xml:space="preserve">, dans le cas d’un appel fondé sur l’article 40 de la </w:t>
      </w:r>
      <w:r w:rsidRPr="00C82DE5">
        <w:rPr>
          <w:rFonts w:ascii="Arial" w:hAnsi="Arial" w:cs="Arial"/>
          <w:bCs/>
          <w:i/>
          <w:sz w:val="24"/>
          <w:szCs w:val="24"/>
          <w:lang w:val="fr-CA"/>
        </w:rPr>
        <w:t xml:space="preserve">Loi sur l’évaluation foncière, </w:t>
      </w:r>
      <w:r w:rsidRPr="00C82DE5">
        <w:rPr>
          <w:rFonts w:ascii="Arial" w:hAnsi="Arial" w:cs="Arial"/>
          <w:bCs/>
          <w:sz w:val="24"/>
          <w:szCs w:val="24"/>
          <w:lang w:val="fr-CA"/>
        </w:rPr>
        <w:t xml:space="preserve">les deux moyens d’appel prévus par </w:t>
      </w:r>
      <w:r w:rsidR="0024775B">
        <w:rPr>
          <w:rFonts w:ascii="Arial" w:hAnsi="Arial" w:cs="Arial"/>
          <w:bCs/>
          <w:sz w:val="24"/>
          <w:szCs w:val="24"/>
          <w:lang w:val="fr-CA"/>
        </w:rPr>
        <w:t>la</w:t>
      </w:r>
      <w:r w:rsidRPr="00C82DE5">
        <w:rPr>
          <w:rFonts w:ascii="Arial" w:hAnsi="Arial" w:cs="Arial"/>
          <w:bCs/>
          <w:sz w:val="24"/>
          <w:szCs w:val="24"/>
          <w:lang w:val="fr-CA"/>
        </w:rPr>
        <w:t xml:space="preserve"> </w:t>
      </w:r>
      <w:r w:rsidR="006E600B">
        <w:rPr>
          <w:rFonts w:ascii="Arial" w:hAnsi="Arial" w:cs="Arial"/>
          <w:bCs/>
          <w:sz w:val="24"/>
          <w:szCs w:val="24"/>
          <w:lang w:val="fr-CA"/>
        </w:rPr>
        <w:t>l</w:t>
      </w:r>
      <w:r w:rsidRPr="00C82DE5">
        <w:rPr>
          <w:rFonts w:ascii="Arial" w:hAnsi="Arial" w:cs="Arial"/>
          <w:bCs/>
          <w:sz w:val="24"/>
          <w:szCs w:val="24"/>
          <w:lang w:val="fr-CA"/>
        </w:rPr>
        <w:t>oi sont l’exactitude de la valeur actuelle et la nécessité pour la Commission d’effectuer un ajustement équitable afin de réduire la valeur actuelle);</w:t>
      </w:r>
    </w:p>
    <w:p w14:paraId="2A5AE32C" w14:textId="77777777" w:rsidR="002B5962" w:rsidRPr="00C82DE5" w:rsidRDefault="002B5962" w:rsidP="002B5962">
      <w:pPr>
        <w:pStyle w:val="BodyText"/>
        <w:spacing w:before="6" w:line="240" w:lineRule="auto"/>
        <w:rPr>
          <w:rFonts w:cs="Arial"/>
          <w:bCs/>
          <w:szCs w:val="24"/>
          <w:lang w:val="fr-CA"/>
        </w:rPr>
      </w:pPr>
    </w:p>
    <w:p w14:paraId="7BC9DC9B" w14:textId="31C0B385" w:rsidR="002B5962" w:rsidRPr="00C82DE5" w:rsidRDefault="00CF29D1" w:rsidP="002B5962">
      <w:pPr>
        <w:pStyle w:val="ListParagraph"/>
        <w:widowControl w:val="0"/>
        <w:numPr>
          <w:ilvl w:val="0"/>
          <w:numId w:val="9"/>
        </w:numPr>
        <w:tabs>
          <w:tab w:val="left" w:pos="880"/>
          <w:tab w:val="left" w:pos="881"/>
        </w:tabs>
        <w:autoSpaceDE w:val="0"/>
        <w:autoSpaceDN w:val="0"/>
        <w:spacing w:after="0" w:line="240" w:lineRule="auto"/>
        <w:ind w:left="880" w:right="642"/>
        <w:contextualSpacing w:val="0"/>
        <w:rPr>
          <w:rFonts w:ascii="Arial" w:hAnsi="Arial" w:cs="Arial"/>
          <w:bCs/>
          <w:sz w:val="24"/>
          <w:szCs w:val="24"/>
          <w:lang w:val="fr-CA"/>
        </w:rPr>
      </w:pPr>
      <w:r w:rsidRPr="00C82DE5">
        <w:rPr>
          <w:rFonts w:ascii="Arial" w:hAnsi="Arial" w:cs="Arial"/>
          <w:bCs/>
          <w:sz w:val="24"/>
          <w:szCs w:val="24"/>
          <w:lang w:val="fr-CA"/>
        </w:rPr>
        <w:t xml:space="preserve">une </w:t>
      </w:r>
      <w:r w:rsidR="0096274D" w:rsidRPr="00C82DE5">
        <w:rPr>
          <w:rFonts w:ascii="Arial" w:hAnsi="Arial" w:cs="Arial"/>
          <w:bCs/>
          <w:sz w:val="24"/>
          <w:szCs w:val="24"/>
          <w:lang w:val="fr-CA"/>
        </w:rPr>
        <w:t xml:space="preserve">description </w:t>
      </w:r>
      <w:r w:rsidRPr="00C82DE5">
        <w:rPr>
          <w:rFonts w:ascii="Arial" w:hAnsi="Arial" w:cs="Arial"/>
          <w:bCs/>
          <w:sz w:val="24"/>
          <w:szCs w:val="24"/>
          <w:lang w:val="fr-CA"/>
        </w:rPr>
        <w:t xml:space="preserve">détaillée </w:t>
      </w:r>
      <w:r w:rsidR="006E600B">
        <w:rPr>
          <w:rFonts w:ascii="Arial" w:hAnsi="Arial" w:cs="Arial"/>
          <w:bCs/>
          <w:sz w:val="24"/>
          <w:szCs w:val="24"/>
          <w:lang w:val="fr-CA"/>
        </w:rPr>
        <w:t>d</w:t>
      </w:r>
      <w:r w:rsidRPr="00C82DE5">
        <w:rPr>
          <w:rFonts w:ascii="Arial" w:hAnsi="Arial" w:cs="Arial"/>
          <w:bCs/>
          <w:sz w:val="24"/>
          <w:szCs w:val="24"/>
          <w:lang w:val="fr-CA"/>
        </w:rPr>
        <w:t>es faits, opinions</w:t>
      </w:r>
      <w:r w:rsidR="006E600B">
        <w:rPr>
          <w:rFonts w:ascii="Arial" w:hAnsi="Arial" w:cs="Arial"/>
          <w:bCs/>
          <w:sz w:val="24"/>
          <w:szCs w:val="24"/>
          <w:lang w:val="fr-CA"/>
        </w:rPr>
        <w:t xml:space="preserve"> et</w:t>
      </w:r>
      <w:r w:rsidRPr="00C82DE5">
        <w:rPr>
          <w:rFonts w:ascii="Arial" w:hAnsi="Arial" w:cs="Arial"/>
          <w:bCs/>
          <w:sz w:val="24"/>
          <w:szCs w:val="24"/>
          <w:lang w:val="fr-CA"/>
        </w:rPr>
        <w:t xml:space="preserve"> </w:t>
      </w:r>
      <w:r w:rsidR="0096274D" w:rsidRPr="00C82DE5">
        <w:rPr>
          <w:rFonts w:ascii="Arial" w:hAnsi="Arial" w:cs="Arial"/>
          <w:bCs/>
          <w:sz w:val="24"/>
          <w:szCs w:val="24"/>
          <w:lang w:val="fr-CA"/>
        </w:rPr>
        <w:t xml:space="preserve">conclusions </w:t>
      </w:r>
      <w:r w:rsidRPr="00C82DE5">
        <w:rPr>
          <w:rFonts w:ascii="Arial" w:hAnsi="Arial" w:cs="Arial"/>
          <w:bCs/>
          <w:sz w:val="24"/>
          <w:szCs w:val="24"/>
          <w:lang w:val="fr-CA"/>
        </w:rPr>
        <w:t xml:space="preserve">et </w:t>
      </w:r>
      <w:r w:rsidR="006E600B">
        <w:rPr>
          <w:rFonts w:ascii="Arial" w:hAnsi="Arial" w:cs="Arial"/>
          <w:bCs/>
          <w:sz w:val="24"/>
          <w:szCs w:val="24"/>
          <w:lang w:val="fr-CA"/>
        </w:rPr>
        <w:t xml:space="preserve">de </w:t>
      </w:r>
      <w:r w:rsidRPr="00C82DE5">
        <w:rPr>
          <w:rFonts w:ascii="Arial" w:hAnsi="Arial" w:cs="Arial"/>
          <w:bCs/>
          <w:sz w:val="24"/>
          <w:szCs w:val="24"/>
          <w:lang w:val="fr-CA"/>
        </w:rPr>
        <w:t xml:space="preserve">tout fondement juridique </w:t>
      </w:r>
      <w:r w:rsidR="0096274D" w:rsidRPr="00C82DE5">
        <w:rPr>
          <w:rFonts w:ascii="Arial" w:hAnsi="Arial" w:cs="Arial"/>
          <w:bCs/>
          <w:sz w:val="24"/>
          <w:szCs w:val="24"/>
          <w:lang w:val="fr-CA"/>
        </w:rPr>
        <w:t>que l’appelant invoque au s</w:t>
      </w:r>
      <w:r w:rsidR="006E600B">
        <w:rPr>
          <w:rFonts w:ascii="Arial" w:hAnsi="Arial" w:cs="Arial"/>
          <w:bCs/>
          <w:sz w:val="24"/>
          <w:szCs w:val="24"/>
          <w:lang w:val="fr-CA"/>
        </w:rPr>
        <w:t>outien</w:t>
      </w:r>
      <w:r w:rsidR="00D663F0">
        <w:rPr>
          <w:rFonts w:ascii="Arial" w:hAnsi="Arial" w:cs="Arial"/>
          <w:bCs/>
          <w:sz w:val="24"/>
          <w:szCs w:val="24"/>
          <w:lang w:val="fr-CA"/>
        </w:rPr>
        <w:t xml:space="preserve"> de sa thèse</w:t>
      </w:r>
      <w:r w:rsidR="0096274D" w:rsidRPr="00C82DE5">
        <w:rPr>
          <w:rFonts w:ascii="Arial" w:hAnsi="Arial" w:cs="Arial"/>
          <w:bCs/>
          <w:sz w:val="24"/>
          <w:szCs w:val="24"/>
          <w:lang w:val="fr-CA"/>
        </w:rPr>
        <w:t xml:space="preserve">; </w:t>
      </w:r>
    </w:p>
    <w:p w14:paraId="0A212D68" w14:textId="77777777" w:rsidR="002B5962" w:rsidRPr="00C82DE5" w:rsidRDefault="002B5962" w:rsidP="002B5962">
      <w:pPr>
        <w:pStyle w:val="BodyText"/>
        <w:spacing w:before="9" w:line="240" w:lineRule="auto"/>
        <w:rPr>
          <w:rFonts w:cs="Arial"/>
          <w:bCs/>
          <w:szCs w:val="24"/>
          <w:lang w:val="fr-CA"/>
        </w:rPr>
      </w:pPr>
    </w:p>
    <w:p w14:paraId="35D7B571" w14:textId="345B3114" w:rsidR="002B5962" w:rsidRPr="00C82DE5" w:rsidRDefault="0096274D" w:rsidP="002B5962">
      <w:pPr>
        <w:pStyle w:val="ListParagraph"/>
        <w:widowControl w:val="0"/>
        <w:numPr>
          <w:ilvl w:val="0"/>
          <w:numId w:val="9"/>
        </w:numPr>
        <w:tabs>
          <w:tab w:val="left" w:pos="880"/>
          <w:tab w:val="left" w:pos="881"/>
        </w:tabs>
        <w:autoSpaceDE w:val="0"/>
        <w:autoSpaceDN w:val="0"/>
        <w:spacing w:after="0" w:line="240" w:lineRule="auto"/>
        <w:ind w:left="880" w:right="1154"/>
        <w:contextualSpacing w:val="0"/>
        <w:rPr>
          <w:rFonts w:ascii="Arial" w:hAnsi="Arial" w:cs="Arial"/>
          <w:bCs/>
          <w:sz w:val="24"/>
          <w:szCs w:val="24"/>
          <w:lang w:val="fr-CA"/>
        </w:rPr>
      </w:pPr>
      <w:r w:rsidRPr="00C82DE5">
        <w:rPr>
          <w:rFonts w:ascii="Arial" w:hAnsi="Arial" w:cs="Arial"/>
          <w:bCs/>
          <w:sz w:val="24"/>
          <w:szCs w:val="24"/>
          <w:lang w:val="fr-CA"/>
        </w:rPr>
        <w:t xml:space="preserve">tout désaccord au sujet des conclusions de la SEFM </w:t>
      </w:r>
      <w:r w:rsidR="006E600B">
        <w:rPr>
          <w:rFonts w:ascii="Arial" w:hAnsi="Arial" w:cs="Arial"/>
          <w:bCs/>
          <w:sz w:val="24"/>
          <w:szCs w:val="24"/>
          <w:lang w:val="fr-CA"/>
        </w:rPr>
        <w:t xml:space="preserve">figurant dans les documents de </w:t>
      </w:r>
      <w:r w:rsidRPr="00C82DE5">
        <w:rPr>
          <w:rFonts w:ascii="Arial" w:hAnsi="Arial" w:cs="Arial"/>
          <w:bCs/>
          <w:sz w:val="24"/>
          <w:szCs w:val="24"/>
          <w:lang w:val="fr-CA"/>
        </w:rPr>
        <w:t xml:space="preserve">la divulgation initiale de celle-ci; </w:t>
      </w:r>
    </w:p>
    <w:p w14:paraId="2F586E8B" w14:textId="77777777" w:rsidR="002B5962" w:rsidRPr="00C82DE5" w:rsidRDefault="002B5962" w:rsidP="002B5962">
      <w:pPr>
        <w:pStyle w:val="BodyText"/>
        <w:spacing w:before="9" w:line="240" w:lineRule="auto"/>
        <w:rPr>
          <w:rFonts w:cs="Arial"/>
          <w:bCs/>
          <w:szCs w:val="24"/>
          <w:lang w:val="fr-CA"/>
        </w:rPr>
      </w:pPr>
    </w:p>
    <w:p w14:paraId="7ADD2ACB" w14:textId="71931C9A" w:rsidR="002B5962" w:rsidRPr="00D85710" w:rsidRDefault="0096274D" w:rsidP="002B5962">
      <w:pPr>
        <w:pStyle w:val="ListParagraph"/>
        <w:widowControl w:val="0"/>
        <w:numPr>
          <w:ilvl w:val="0"/>
          <w:numId w:val="9"/>
        </w:numPr>
        <w:tabs>
          <w:tab w:val="left" w:pos="880"/>
          <w:tab w:val="left" w:pos="881"/>
        </w:tabs>
        <w:autoSpaceDE w:val="0"/>
        <w:autoSpaceDN w:val="0"/>
        <w:spacing w:line="240" w:lineRule="auto"/>
        <w:ind w:left="879" w:right="539" w:hanging="357"/>
        <w:contextualSpacing w:val="0"/>
        <w:rPr>
          <w:rFonts w:ascii="Arial" w:hAnsi="Arial" w:cs="Arial"/>
          <w:bCs/>
          <w:sz w:val="24"/>
          <w:szCs w:val="24"/>
          <w:lang w:val="fr-CA"/>
        </w:rPr>
      </w:pPr>
      <w:r w:rsidRPr="00C82DE5">
        <w:rPr>
          <w:rFonts w:ascii="Arial" w:hAnsi="Arial" w:cs="Arial"/>
          <w:bCs/>
          <w:sz w:val="24"/>
          <w:szCs w:val="24"/>
          <w:lang w:val="fr-CA"/>
        </w:rPr>
        <w:t xml:space="preserve">une demande visant à obtenir des documents qui ne figurent pas dans le </w:t>
      </w:r>
      <w:r w:rsidR="006E600B">
        <w:rPr>
          <w:rFonts w:ascii="Arial" w:hAnsi="Arial" w:cs="Arial"/>
          <w:bCs/>
          <w:sz w:val="24"/>
          <w:szCs w:val="24"/>
          <w:lang w:val="fr-CA"/>
        </w:rPr>
        <w:t>calendrier de divulgation</w:t>
      </w:r>
      <w:r w:rsidRPr="00C82DE5">
        <w:rPr>
          <w:rFonts w:ascii="Arial" w:hAnsi="Arial" w:cs="Arial"/>
          <w:bCs/>
          <w:sz w:val="24"/>
          <w:szCs w:val="24"/>
          <w:lang w:val="fr-CA"/>
        </w:rPr>
        <w:t xml:space="preserve"> (décrit ci-dessous) et que l’appelant juge pertinents.</w:t>
      </w:r>
    </w:p>
    <w:p w14:paraId="52BC06C8" w14:textId="7F91C786" w:rsidR="00EE6A7E" w:rsidRPr="00B14FC9" w:rsidRDefault="0096274D" w:rsidP="0051321A">
      <w:pPr>
        <w:pStyle w:val="Title"/>
        <w:spacing w:after="160"/>
        <w:jc w:val="left"/>
        <w:rPr>
          <w:lang w:val="fr-CA"/>
        </w:rPr>
      </w:pPr>
      <w:r w:rsidRPr="00C82DE5">
        <w:t xml:space="preserve">Exposé de </w:t>
      </w:r>
      <w:proofErr w:type="spellStart"/>
      <w:r w:rsidRPr="00C82DE5">
        <w:t>réponse</w:t>
      </w:r>
      <w:proofErr w:type="spellEnd"/>
    </w:p>
    <w:p w14:paraId="02448C3C" w14:textId="125CF8A2" w:rsidR="002B5962" w:rsidRPr="00A266EB" w:rsidRDefault="006E600B" w:rsidP="00EE6A7E">
      <w:pPr>
        <w:pStyle w:val="BodyText"/>
        <w:rPr>
          <w:lang w:val="fr-CA"/>
        </w:rPr>
      </w:pPr>
      <w:r w:rsidRPr="00A266EB">
        <w:rPr>
          <w:lang w:val="fr-CA"/>
        </w:rPr>
        <w:t>La</w:t>
      </w:r>
      <w:r w:rsidR="002E550B" w:rsidRPr="00A266EB">
        <w:rPr>
          <w:lang w:val="fr-CA"/>
        </w:rPr>
        <w:t xml:space="preserve"> partie </w:t>
      </w:r>
      <w:r w:rsidRPr="00A266EB">
        <w:rPr>
          <w:lang w:val="fr-CA"/>
        </w:rPr>
        <w:t xml:space="preserve">qui répond </w:t>
      </w:r>
      <w:r w:rsidR="002E550B" w:rsidRPr="00A266EB">
        <w:rPr>
          <w:lang w:val="fr-CA"/>
        </w:rPr>
        <w:t>peut décider de répondre à l’exposé des questions en litige de l’appelant en présentant un exposé de réponse qui énonce</w:t>
      </w:r>
      <w:r w:rsidRPr="00A266EB">
        <w:rPr>
          <w:lang w:val="fr-CA"/>
        </w:rPr>
        <w:t xml:space="preserve"> ou comporte</w:t>
      </w:r>
      <w:r w:rsidR="002E550B" w:rsidRPr="00A266EB">
        <w:rPr>
          <w:lang w:val="fr-CA"/>
        </w:rPr>
        <w:t> :</w:t>
      </w:r>
    </w:p>
    <w:p w14:paraId="13BB0764" w14:textId="77777777" w:rsidR="00EE6A7E" w:rsidRPr="00A266EB" w:rsidRDefault="00EE6A7E" w:rsidP="00EE6A7E">
      <w:pPr>
        <w:pStyle w:val="BodyText"/>
        <w:rPr>
          <w:lang w:val="fr-CA"/>
        </w:rPr>
      </w:pPr>
    </w:p>
    <w:p w14:paraId="00A63108" w14:textId="75F514E9" w:rsidR="002B5962" w:rsidRPr="00C82DE5" w:rsidRDefault="006F14DA" w:rsidP="002B5962">
      <w:pPr>
        <w:pStyle w:val="ListParagraph"/>
        <w:widowControl w:val="0"/>
        <w:numPr>
          <w:ilvl w:val="0"/>
          <w:numId w:val="9"/>
        </w:numPr>
        <w:tabs>
          <w:tab w:val="left" w:pos="880"/>
          <w:tab w:val="left" w:pos="881"/>
        </w:tabs>
        <w:autoSpaceDE w:val="0"/>
        <w:autoSpaceDN w:val="0"/>
        <w:spacing w:after="0" w:line="240" w:lineRule="auto"/>
        <w:ind w:left="880" w:hanging="361"/>
        <w:contextualSpacing w:val="0"/>
        <w:rPr>
          <w:rFonts w:ascii="Arial" w:hAnsi="Arial" w:cs="Arial"/>
          <w:bCs/>
          <w:sz w:val="24"/>
          <w:szCs w:val="24"/>
          <w:lang w:val="fr-CA"/>
        </w:rPr>
      </w:pPr>
      <w:r>
        <w:rPr>
          <w:rFonts w:ascii="Arial" w:hAnsi="Arial" w:cs="Arial"/>
          <w:bCs/>
          <w:sz w:val="24"/>
          <w:szCs w:val="24"/>
          <w:lang w:val="fr-CA"/>
        </w:rPr>
        <w:t>la thèse</w:t>
      </w:r>
      <w:r w:rsidR="002E550B" w:rsidRPr="00C82DE5">
        <w:rPr>
          <w:rFonts w:ascii="Arial" w:hAnsi="Arial" w:cs="Arial"/>
          <w:bCs/>
          <w:sz w:val="24"/>
          <w:szCs w:val="24"/>
          <w:lang w:val="fr-CA"/>
        </w:rPr>
        <w:t xml:space="preserve"> de </w:t>
      </w:r>
      <w:r w:rsidR="006E600B">
        <w:rPr>
          <w:rFonts w:ascii="Arial" w:hAnsi="Arial" w:cs="Arial"/>
          <w:bCs/>
          <w:sz w:val="24"/>
          <w:szCs w:val="24"/>
          <w:lang w:val="fr-CA"/>
        </w:rPr>
        <w:t>cette</w:t>
      </w:r>
      <w:r w:rsidR="002E550B" w:rsidRPr="00C82DE5">
        <w:rPr>
          <w:rFonts w:ascii="Arial" w:hAnsi="Arial" w:cs="Arial"/>
          <w:bCs/>
          <w:sz w:val="24"/>
          <w:szCs w:val="24"/>
          <w:lang w:val="fr-CA"/>
        </w:rPr>
        <w:t xml:space="preserve"> partie sur les moyens d’appel prévus par la loi;</w:t>
      </w:r>
    </w:p>
    <w:p w14:paraId="287DB5D4" w14:textId="77777777" w:rsidR="002B5962" w:rsidRPr="00C82DE5" w:rsidRDefault="002B5962" w:rsidP="002B5962">
      <w:pPr>
        <w:pStyle w:val="ListParagraph"/>
        <w:widowControl w:val="0"/>
        <w:tabs>
          <w:tab w:val="left" w:pos="880"/>
          <w:tab w:val="left" w:pos="881"/>
        </w:tabs>
        <w:autoSpaceDE w:val="0"/>
        <w:autoSpaceDN w:val="0"/>
        <w:spacing w:after="0" w:line="240" w:lineRule="auto"/>
        <w:ind w:left="880"/>
        <w:contextualSpacing w:val="0"/>
        <w:rPr>
          <w:rFonts w:ascii="Arial" w:hAnsi="Arial" w:cs="Arial"/>
          <w:bCs/>
          <w:sz w:val="24"/>
          <w:szCs w:val="24"/>
          <w:lang w:val="fr-CA"/>
        </w:rPr>
      </w:pPr>
    </w:p>
    <w:p w14:paraId="0A8E156B" w14:textId="61AC35F2" w:rsidR="002B5962" w:rsidRPr="00C82DE5" w:rsidRDefault="00894BA5" w:rsidP="002B5962">
      <w:pPr>
        <w:pStyle w:val="ListParagraph"/>
        <w:widowControl w:val="0"/>
        <w:numPr>
          <w:ilvl w:val="0"/>
          <w:numId w:val="9"/>
        </w:numPr>
        <w:tabs>
          <w:tab w:val="left" w:pos="880"/>
          <w:tab w:val="left" w:pos="881"/>
        </w:tabs>
        <w:autoSpaceDE w:val="0"/>
        <w:autoSpaceDN w:val="0"/>
        <w:spacing w:after="0" w:line="240" w:lineRule="auto"/>
        <w:ind w:left="880" w:right="405"/>
        <w:contextualSpacing w:val="0"/>
        <w:rPr>
          <w:rFonts w:ascii="Arial" w:hAnsi="Arial" w:cs="Arial"/>
          <w:bCs/>
          <w:sz w:val="24"/>
          <w:szCs w:val="24"/>
          <w:lang w:val="fr-CA"/>
        </w:rPr>
      </w:pPr>
      <w:r w:rsidRPr="00C82DE5">
        <w:rPr>
          <w:rFonts w:ascii="Arial" w:hAnsi="Arial" w:cs="Arial"/>
          <w:bCs/>
          <w:sz w:val="24"/>
          <w:szCs w:val="24"/>
          <w:lang w:val="fr-CA"/>
        </w:rPr>
        <w:t xml:space="preserve">l’accord ou le désaccord de </w:t>
      </w:r>
      <w:r w:rsidR="006E600B">
        <w:rPr>
          <w:rFonts w:ascii="Arial" w:hAnsi="Arial" w:cs="Arial"/>
          <w:bCs/>
          <w:sz w:val="24"/>
          <w:szCs w:val="24"/>
          <w:lang w:val="fr-CA"/>
        </w:rPr>
        <w:t>cette</w:t>
      </w:r>
      <w:r w:rsidR="007269F0" w:rsidRPr="00C82DE5">
        <w:rPr>
          <w:rFonts w:ascii="Arial" w:hAnsi="Arial" w:cs="Arial"/>
          <w:bCs/>
          <w:sz w:val="24"/>
          <w:szCs w:val="24"/>
          <w:lang w:val="fr-CA"/>
        </w:rPr>
        <w:t xml:space="preserve"> partie avec chacun des faits, opinions et conclusions précis figurant dans l’exposé des questions </w:t>
      </w:r>
      <w:r w:rsidR="006E600B">
        <w:rPr>
          <w:rFonts w:ascii="Arial" w:hAnsi="Arial" w:cs="Arial"/>
          <w:bCs/>
          <w:sz w:val="24"/>
          <w:szCs w:val="24"/>
          <w:lang w:val="fr-CA"/>
        </w:rPr>
        <w:t xml:space="preserve">en litige </w:t>
      </w:r>
      <w:r w:rsidR="007269F0" w:rsidRPr="00C82DE5">
        <w:rPr>
          <w:rFonts w:ascii="Arial" w:hAnsi="Arial" w:cs="Arial"/>
          <w:bCs/>
          <w:sz w:val="24"/>
          <w:szCs w:val="24"/>
          <w:lang w:val="fr-CA"/>
        </w:rPr>
        <w:t>de l’appelant;</w:t>
      </w:r>
    </w:p>
    <w:p w14:paraId="65239E87" w14:textId="77777777" w:rsidR="002B5962" w:rsidRPr="00C82DE5" w:rsidRDefault="002B5962" w:rsidP="002B5962">
      <w:pPr>
        <w:pStyle w:val="ListParagraph"/>
        <w:widowControl w:val="0"/>
        <w:tabs>
          <w:tab w:val="left" w:pos="880"/>
          <w:tab w:val="left" w:pos="881"/>
        </w:tabs>
        <w:autoSpaceDE w:val="0"/>
        <w:autoSpaceDN w:val="0"/>
        <w:spacing w:after="0" w:line="240" w:lineRule="auto"/>
        <w:ind w:left="880" w:right="405"/>
        <w:contextualSpacing w:val="0"/>
        <w:rPr>
          <w:rFonts w:ascii="Arial" w:hAnsi="Arial" w:cs="Arial"/>
          <w:bCs/>
          <w:sz w:val="24"/>
          <w:szCs w:val="24"/>
          <w:lang w:val="fr-CA"/>
        </w:rPr>
      </w:pPr>
    </w:p>
    <w:p w14:paraId="1E08CF03" w14:textId="187C735F" w:rsidR="002B5962" w:rsidRPr="00C82DE5" w:rsidRDefault="007269F0" w:rsidP="002B5962">
      <w:pPr>
        <w:pStyle w:val="ListParagraph"/>
        <w:widowControl w:val="0"/>
        <w:numPr>
          <w:ilvl w:val="0"/>
          <w:numId w:val="9"/>
        </w:numPr>
        <w:tabs>
          <w:tab w:val="left" w:pos="880"/>
          <w:tab w:val="left" w:pos="881"/>
        </w:tabs>
        <w:autoSpaceDE w:val="0"/>
        <w:autoSpaceDN w:val="0"/>
        <w:spacing w:after="0" w:line="240" w:lineRule="auto"/>
        <w:ind w:left="880" w:right="224"/>
        <w:contextualSpacing w:val="0"/>
        <w:rPr>
          <w:rFonts w:ascii="Arial" w:hAnsi="Arial" w:cs="Arial"/>
          <w:bCs/>
          <w:sz w:val="24"/>
          <w:szCs w:val="24"/>
          <w:lang w:val="fr-CA"/>
        </w:rPr>
      </w:pPr>
      <w:r w:rsidRPr="00C82DE5">
        <w:rPr>
          <w:rFonts w:ascii="Arial" w:hAnsi="Arial" w:cs="Arial"/>
          <w:bCs/>
          <w:sz w:val="24"/>
          <w:szCs w:val="24"/>
          <w:lang w:val="fr-CA"/>
        </w:rPr>
        <w:t>une</w:t>
      </w:r>
      <w:r w:rsidR="002B5962" w:rsidRPr="00C82DE5">
        <w:rPr>
          <w:rFonts w:ascii="Arial" w:hAnsi="Arial" w:cs="Arial"/>
          <w:bCs/>
          <w:sz w:val="24"/>
          <w:szCs w:val="24"/>
          <w:lang w:val="fr-CA"/>
        </w:rPr>
        <w:t xml:space="preserve"> description </w:t>
      </w:r>
      <w:r w:rsidRPr="00C82DE5">
        <w:rPr>
          <w:rFonts w:ascii="Arial" w:hAnsi="Arial" w:cs="Arial"/>
          <w:bCs/>
          <w:sz w:val="24"/>
          <w:szCs w:val="24"/>
          <w:lang w:val="fr-CA"/>
        </w:rPr>
        <w:t>détaillée des faits, opinions et conclusions et de tout fondement juridique que</w:t>
      </w:r>
      <w:r w:rsidR="006E600B">
        <w:rPr>
          <w:rFonts w:ascii="Arial" w:hAnsi="Arial" w:cs="Arial"/>
          <w:bCs/>
          <w:sz w:val="24"/>
          <w:szCs w:val="24"/>
          <w:lang w:val="fr-CA"/>
        </w:rPr>
        <w:t xml:space="preserve"> cette partie</w:t>
      </w:r>
      <w:r w:rsidRPr="00C82DE5">
        <w:rPr>
          <w:rFonts w:ascii="Arial" w:hAnsi="Arial" w:cs="Arial"/>
          <w:bCs/>
          <w:sz w:val="24"/>
          <w:szCs w:val="24"/>
          <w:lang w:val="fr-CA"/>
        </w:rPr>
        <w:t xml:space="preserve"> invoque au soutien de sa position;</w:t>
      </w:r>
    </w:p>
    <w:p w14:paraId="52FA5BAA" w14:textId="77777777" w:rsidR="002B5962" w:rsidRPr="00C82DE5" w:rsidRDefault="002B5962" w:rsidP="002B5962">
      <w:pPr>
        <w:pStyle w:val="ListParagraph"/>
        <w:rPr>
          <w:rFonts w:ascii="Arial" w:hAnsi="Arial" w:cs="Arial"/>
          <w:bCs/>
          <w:sz w:val="24"/>
          <w:szCs w:val="24"/>
          <w:lang w:val="fr-CA"/>
        </w:rPr>
      </w:pPr>
    </w:p>
    <w:p w14:paraId="57054E5E" w14:textId="33150B4F" w:rsidR="002B5962" w:rsidRPr="00D85710" w:rsidRDefault="007269F0" w:rsidP="00D85710">
      <w:pPr>
        <w:pStyle w:val="ListParagraph"/>
        <w:widowControl w:val="0"/>
        <w:numPr>
          <w:ilvl w:val="0"/>
          <w:numId w:val="9"/>
        </w:numPr>
        <w:tabs>
          <w:tab w:val="left" w:pos="880"/>
          <w:tab w:val="left" w:pos="881"/>
        </w:tabs>
        <w:autoSpaceDE w:val="0"/>
        <w:autoSpaceDN w:val="0"/>
        <w:spacing w:line="240" w:lineRule="auto"/>
        <w:ind w:left="879" w:right="227" w:hanging="357"/>
        <w:contextualSpacing w:val="0"/>
        <w:rPr>
          <w:rFonts w:ascii="Arial" w:hAnsi="Arial" w:cs="Arial"/>
          <w:bCs/>
          <w:sz w:val="24"/>
          <w:szCs w:val="24"/>
          <w:lang w:val="fr-CA"/>
        </w:rPr>
      </w:pPr>
      <w:r w:rsidRPr="00C82DE5">
        <w:rPr>
          <w:rFonts w:ascii="Arial" w:hAnsi="Arial" w:cs="Arial"/>
          <w:bCs/>
          <w:sz w:val="24"/>
          <w:szCs w:val="24"/>
          <w:lang w:val="fr-CA"/>
        </w:rPr>
        <w:t xml:space="preserve">une demande </w:t>
      </w:r>
      <w:r w:rsidR="006E600B">
        <w:rPr>
          <w:rFonts w:ascii="Arial" w:hAnsi="Arial" w:cs="Arial"/>
          <w:bCs/>
          <w:sz w:val="24"/>
          <w:szCs w:val="24"/>
          <w:lang w:val="fr-CA"/>
        </w:rPr>
        <w:t xml:space="preserve">visant à </w:t>
      </w:r>
      <w:r w:rsidRPr="00C82DE5">
        <w:rPr>
          <w:rFonts w:ascii="Arial" w:hAnsi="Arial" w:cs="Arial"/>
          <w:bCs/>
          <w:sz w:val="24"/>
          <w:szCs w:val="24"/>
          <w:lang w:val="fr-CA"/>
        </w:rPr>
        <w:t xml:space="preserve">obtenir des documents supplémentaires </w:t>
      </w:r>
      <w:r w:rsidR="00D0619F">
        <w:rPr>
          <w:rFonts w:ascii="Arial" w:hAnsi="Arial" w:cs="Arial"/>
          <w:bCs/>
          <w:sz w:val="24"/>
          <w:szCs w:val="24"/>
          <w:lang w:val="fr-CA"/>
        </w:rPr>
        <w:t xml:space="preserve">pertinents </w:t>
      </w:r>
      <w:r w:rsidRPr="00C82DE5">
        <w:rPr>
          <w:rFonts w:ascii="Arial" w:hAnsi="Arial" w:cs="Arial"/>
          <w:bCs/>
          <w:sz w:val="24"/>
          <w:szCs w:val="24"/>
          <w:lang w:val="fr-CA"/>
        </w:rPr>
        <w:t xml:space="preserve">que l’appelant n’a pas déjà divulgués. </w:t>
      </w:r>
    </w:p>
    <w:p w14:paraId="750A9CD2" w14:textId="19C2D9B0" w:rsidR="00B127C6" w:rsidRPr="00B14FC9" w:rsidRDefault="007269F0" w:rsidP="0051321A">
      <w:pPr>
        <w:pStyle w:val="Title"/>
        <w:spacing w:after="160"/>
        <w:jc w:val="left"/>
      </w:pPr>
      <w:r w:rsidRPr="00C82DE5">
        <w:t>Exposé de réplique</w:t>
      </w:r>
    </w:p>
    <w:p w14:paraId="63C865FC" w14:textId="4F331071" w:rsidR="002B5962" w:rsidRPr="00A266EB" w:rsidRDefault="007269F0" w:rsidP="00B127C6">
      <w:pPr>
        <w:pStyle w:val="BodyText"/>
        <w:rPr>
          <w:lang w:val="fr-CA"/>
        </w:rPr>
      </w:pPr>
      <w:r w:rsidRPr="00A266EB">
        <w:rPr>
          <w:lang w:val="fr-CA"/>
        </w:rPr>
        <w:t>L’</w:t>
      </w:r>
      <w:r w:rsidR="002B5962" w:rsidRPr="00A266EB">
        <w:rPr>
          <w:lang w:val="fr-CA"/>
        </w:rPr>
        <w:t xml:space="preserve">appelant </w:t>
      </w:r>
      <w:r w:rsidRPr="00A266EB">
        <w:rPr>
          <w:lang w:val="fr-CA"/>
        </w:rPr>
        <w:t>peut, à son tour, réagir à un exposé de réponse en déposant un exposé de réplique qui énonce </w:t>
      </w:r>
      <w:r w:rsidR="0024775B" w:rsidRPr="00A266EB">
        <w:rPr>
          <w:lang w:val="fr-CA"/>
        </w:rPr>
        <w:t xml:space="preserve">ou comporte </w:t>
      </w:r>
      <w:r w:rsidRPr="00A266EB">
        <w:rPr>
          <w:lang w:val="fr-CA"/>
        </w:rPr>
        <w:t>:</w:t>
      </w:r>
    </w:p>
    <w:p w14:paraId="19FD61F2" w14:textId="77777777" w:rsidR="002B5962" w:rsidRPr="00C82DE5" w:rsidRDefault="002B5962" w:rsidP="002B5962">
      <w:pPr>
        <w:spacing w:line="240" w:lineRule="auto"/>
        <w:rPr>
          <w:rFonts w:ascii="Arial" w:hAnsi="Arial" w:cs="Arial"/>
          <w:bCs/>
          <w:sz w:val="24"/>
          <w:szCs w:val="24"/>
          <w:lang w:val="fr-CA"/>
        </w:rPr>
        <w:sectPr w:rsidR="002B5962" w:rsidRPr="00C82DE5">
          <w:headerReference w:type="even" r:id="rId9"/>
          <w:headerReference w:type="default" r:id="rId10"/>
          <w:footerReference w:type="even" r:id="rId11"/>
          <w:footerReference w:type="default" r:id="rId12"/>
          <w:headerReference w:type="first" r:id="rId13"/>
          <w:footerReference w:type="first" r:id="rId14"/>
          <w:pgSz w:w="12240" w:h="15840"/>
          <w:pgMar w:top="1360" w:right="1620" w:bottom="1200" w:left="1340" w:header="0" w:footer="1007" w:gutter="0"/>
          <w:cols w:space="720"/>
        </w:sectPr>
      </w:pPr>
    </w:p>
    <w:p w14:paraId="28A34759" w14:textId="7302964F" w:rsidR="002B5962" w:rsidRPr="00C82DE5" w:rsidRDefault="007269F0" w:rsidP="002B5962">
      <w:pPr>
        <w:pStyle w:val="ListParagraph"/>
        <w:widowControl w:val="0"/>
        <w:numPr>
          <w:ilvl w:val="0"/>
          <w:numId w:val="9"/>
        </w:numPr>
        <w:tabs>
          <w:tab w:val="left" w:pos="880"/>
          <w:tab w:val="left" w:pos="881"/>
        </w:tabs>
        <w:autoSpaceDE w:val="0"/>
        <w:autoSpaceDN w:val="0"/>
        <w:spacing w:before="76" w:after="0" w:line="240" w:lineRule="auto"/>
        <w:ind w:left="880" w:right="577"/>
        <w:contextualSpacing w:val="0"/>
        <w:rPr>
          <w:rFonts w:ascii="Arial" w:hAnsi="Arial" w:cs="Arial"/>
          <w:bCs/>
          <w:sz w:val="24"/>
          <w:szCs w:val="24"/>
          <w:lang w:val="fr-CA"/>
        </w:rPr>
      </w:pPr>
      <w:r w:rsidRPr="00C82DE5">
        <w:rPr>
          <w:rFonts w:ascii="Arial" w:hAnsi="Arial" w:cs="Arial"/>
          <w:bCs/>
          <w:sz w:val="24"/>
          <w:szCs w:val="24"/>
          <w:lang w:val="fr-CA"/>
        </w:rPr>
        <w:lastRenderedPageBreak/>
        <w:t>l’accord ou le désaccord de l’appelant avec chacun des faits, opinions et conclusions précis figurant dans l’exposé de réponse de</w:t>
      </w:r>
      <w:r w:rsidR="00D0619F">
        <w:rPr>
          <w:rFonts w:ascii="Arial" w:hAnsi="Arial" w:cs="Arial"/>
          <w:bCs/>
          <w:sz w:val="24"/>
          <w:szCs w:val="24"/>
          <w:lang w:val="fr-CA"/>
        </w:rPr>
        <w:t xml:space="preserve"> la</w:t>
      </w:r>
      <w:r w:rsidRPr="00C82DE5">
        <w:rPr>
          <w:rFonts w:ascii="Arial" w:hAnsi="Arial" w:cs="Arial"/>
          <w:bCs/>
          <w:sz w:val="24"/>
          <w:szCs w:val="24"/>
          <w:lang w:val="fr-CA"/>
        </w:rPr>
        <w:t xml:space="preserve"> partie</w:t>
      </w:r>
      <w:r w:rsidR="00D0619F">
        <w:rPr>
          <w:rFonts w:ascii="Arial" w:hAnsi="Arial" w:cs="Arial"/>
          <w:bCs/>
          <w:sz w:val="24"/>
          <w:szCs w:val="24"/>
          <w:lang w:val="fr-CA"/>
        </w:rPr>
        <w:t xml:space="preserve"> qui a répondu</w:t>
      </w:r>
      <w:r w:rsidRPr="00C82DE5">
        <w:rPr>
          <w:rFonts w:ascii="Arial" w:hAnsi="Arial" w:cs="Arial"/>
          <w:bCs/>
          <w:sz w:val="24"/>
          <w:szCs w:val="24"/>
          <w:lang w:val="fr-CA"/>
        </w:rPr>
        <w:t>;</w:t>
      </w:r>
    </w:p>
    <w:p w14:paraId="1AF4F148" w14:textId="77777777" w:rsidR="002B5962" w:rsidRPr="00C82DE5" w:rsidRDefault="002B5962" w:rsidP="002B5962">
      <w:pPr>
        <w:pStyle w:val="BodyText"/>
        <w:spacing w:before="3" w:line="240" w:lineRule="auto"/>
        <w:rPr>
          <w:rFonts w:cs="Arial"/>
          <w:bCs/>
          <w:szCs w:val="24"/>
          <w:lang w:val="fr-CA"/>
        </w:rPr>
      </w:pPr>
    </w:p>
    <w:p w14:paraId="231B28B2" w14:textId="6262BAFE" w:rsidR="002B5962" w:rsidRPr="00D85710" w:rsidRDefault="007269F0" w:rsidP="00D85710">
      <w:pPr>
        <w:pStyle w:val="ListParagraph"/>
        <w:widowControl w:val="0"/>
        <w:numPr>
          <w:ilvl w:val="0"/>
          <w:numId w:val="9"/>
        </w:numPr>
        <w:tabs>
          <w:tab w:val="left" w:pos="880"/>
          <w:tab w:val="left" w:pos="881"/>
        </w:tabs>
        <w:autoSpaceDE w:val="0"/>
        <w:autoSpaceDN w:val="0"/>
        <w:spacing w:line="240" w:lineRule="auto"/>
        <w:ind w:left="879" w:right="204" w:hanging="357"/>
        <w:contextualSpacing w:val="0"/>
        <w:rPr>
          <w:rFonts w:ascii="Arial" w:hAnsi="Arial" w:cs="Arial"/>
          <w:bCs/>
          <w:sz w:val="24"/>
          <w:szCs w:val="24"/>
          <w:lang w:val="fr-CA"/>
        </w:rPr>
      </w:pPr>
      <w:r w:rsidRPr="00C82DE5">
        <w:rPr>
          <w:rFonts w:ascii="Arial" w:hAnsi="Arial" w:cs="Arial"/>
          <w:bCs/>
          <w:sz w:val="24"/>
          <w:szCs w:val="24"/>
          <w:lang w:val="fr-CA"/>
        </w:rPr>
        <w:t>une</w:t>
      </w:r>
      <w:r w:rsidR="002B5962" w:rsidRPr="00C82DE5">
        <w:rPr>
          <w:rFonts w:ascii="Arial" w:hAnsi="Arial" w:cs="Arial"/>
          <w:bCs/>
          <w:sz w:val="24"/>
          <w:szCs w:val="24"/>
          <w:lang w:val="fr-CA"/>
        </w:rPr>
        <w:t xml:space="preserve"> description </w:t>
      </w:r>
      <w:r w:rsidRPr="00C82DE5">
        <w:rPr>
          <w:rFonts w:ascii="Arial" w:hAnsi="Arial" w:cs="Arial"/>
          <w:bCs/>
          <w:sz w:val="24"/>
          <w:szCs w:val="24"/>
          <w:lang w:val="fr-CA"/>
        </w:rPr>
        <w:t xml:space="preserve">détaillée de la façon dont l’appelant justifie </w:t>
      </w:r>
      <w:r w:rsidR="00686884" w:rsidRPr="00C82DE5">
        <w:rPr>
          <w:rFonts w:ascii="Arial" w:hAnsi="Arial" w:cs="Arial"/>
          <w:bCs/>
          <w:sz w:val="24"/>
          <w:szCs w:val="24"/>
          <w:lang w:val="fr-CA"/>
        </w:rPr>
        <w:t>son désaccord avec l</w:t>
      </w:r>
      <w:r w:rsidR="00D0619F">
        <w:rPr>
          <w:rFonts w:ascii="Arial" w:hAnsi="Arial" w:cs="Arial"/>
          <w:bCs/>
          <w:sz w:val="24"/>
          <w:szCs w:val="24"/>
          <w:lang w:val="fr-CA"/>
        </w:rPr>
        <w:t>’</w:t>
      </w:r>
      <w:r w:rsidR="00686884" w:rsidRPr="00C82DE5">
        <w:rPr>
          <w:rFonts w:ascii="Arial" w:hAnsi="Arial" w:cs="Arial"/>
          <w:bCs/>
          <w:sz w:val="24"/>
          <w:szCs w:val="24"/>
          <w:lang w:val="fr-CA"/>
        </w:rPr>
        <w:t>exposé de réponse.</w:t>
      </w:r>
    </w:p>
    <w:p w14:paraId="714F8864" w14:textId="73818E2F" w:rsidR="003E6B21" w:rsidRDefault="003E6B21" w:rsidP="0051321A">
      <w:pPr>
        <w:pStyle w:val="Title"/>
        <w:spacing w:after="160"/>
        <w:jc w:val="left"/>
      </w:pPr>
      <w:r w:rsidRPr="00F06947">
        <w:t>Divulgation</w:t>
      </w:r>
    </w:p>
    <w:p w14:paraId="3D14DB78" w14:textId="4A98D11C" w:rsidR="003E6B21" w:rsidRDefault="007471FB" w:rsidP="003E6B21">
      <w:pPr>
        <w:pStyle w:val="BodyText"/>
        <w:rPr>
          <w:lang w:val="fr-CA"/>
        </w:rPr>
      </w:pPr>
      <w:r w:rsidRPr="00C82DE5">
        <w:rPr>
          <w:lang w:val="fr-CA"/>
        </w:rPr>
        <w:t xml:space="preserve">Ligne directrice en matière de divulgation et </w:t>
      </w:r>
      <w:r w:rsidR="006E600B">
        <w:rPr>
          <w:lang w:val="fr-CA"/>
        </w:rPr>
        <w:t>calendrier de divulgation</w:t>
      </w:r>
      <w:r w:rsidR="003E6B21">
        <w:rPr>
          <w:lang w:val="fr-CA"/>
        </w:rPr>
        <w:t>.</w:t>
      </w:r>
    </w:p>
    <w:p w14:paraId="639AFEDA" w14:textId="77777777" w:rsidR="0051321A" w:rsidRPr="00C82DE5" w:rsidRDefault="0051321A" w:rsidP="003E6B21">
      <w:pPr>
        <w:pStyle w:val="BodyText"/>
        <w:rPr>
          <w:lang w:val="fr-CA"/>
        </w:rPr>
      </w:pPr>
    </w:p>
    <w:p w14:paraId="476DAA68" w14:textId="57317F28" w:rsidR="002B5962" w:rsidRDefault="007471FB" w:rsidP="003E6B21">
      <w:pPr>
        <w:pStyle w:val="BodyText"/>
        <w:rPr>
          <w:iCs/>
          <w:lang w:val="fr-CA"/>
        </w:rPr>
      </w:pPr>
      <w:r w:rsidRPr="00C82DE5">
        <w:rPr>
          <w:lang w:val="fr-CA"/>
        </w:rPr>
        <w:t>Une</w:t>
      </w:r>
      <w:r w:rsidR="002B5962" w:rsidRPr="00C82DE5">
        <w:rPr>
          <w:lang w:val="fr-CA"/>
        </w:rPr>
        <w:t xml:space="preserve"> description </w:t>
      </w:r>
      <w:r w:rsidRPr="00C82DE5">
        <w:rPr>
          <w:lang w:val="fr-CA"/>
        </w:rPr>
        <w:t xml:space="preserve">de la divulgation est présentée dans la </w:t>
      </w:r>
      <w:r w:rsidR="00D0619F">
        <w:rPr>
          <w:lang w:val="fr-CA"/>
        </w:rPr>
        <w:t>L</w:t>
      </w:r>
      <w:r w:rsidRPr="00C82DE5">
        <w:rPr>
          <w:lang w:val="fr-CA"/>
        </w:rPr>
        <w:t>igne directrice en matière de divulgation de la Commission, que celle-ci a publiée sur son site Web.</w:t>
      </w:r>
      <w:r w:rsidR="002B5962" w:rsidRPr="00C82DE5">
        <w:rPr>
          <w:spacing w:val="1"/>
          <w:lang w:val="fr-CA"/>
        </w:rPr>
        <w:t xml:space="preserve"> </w:t>
      </w:r>
      <w:r w:rsidRPr="00C82DE5">
        <w:rPr>
          <w:spacing w:val="1"/>
          <w:lang w:val="fr-CA"/>
        </w:rPr>
        <w:t>Cette ligne directrice comporte un calendrier de divulg</w:t>
      </w:r>
      <w:r w:rsidR="00DB766C" w:rsidRPr="00C82DE5">
        <w:rPr>
          <w:spacing w:val="1"/>
          <w:lang w:val="fr-CA"/>
        </w:rPr>
        <w:t>ation</w:t>
      </w:r>
      <w:r w:rsidRPr="00C82DE5">
        <w:rPr>
          <w:spacing w:val="1"/>
          <w:lang w:val="fr-CA"/>
        </w:rPr>
        <w:t xml:space="preserve"> qui indique les </w:t>
      </w:r>
      <w:r w:rsidR="00DB766C" w:rsidRPr="00C82DE5">
        <w:rPr>
          <w:spacing w:val="1"/>
          <w:lang w:val="fr-CA"/>
        </w:rPr>
        <w:t xml:space="preserve">documents </w:t>
      </w:r>
      <w:r w:rsidRPr="00C82DE5">
        <w:rPr>
          <w:spacing w:val="1"/>
          <w:lang w:val="fr-CA"/>
        </w:rPr>
        <w:t>d</w:t>
      </w:r>
      <w:r w:rsidR="00D0619F">
        <w:rPr>
          <w:spacing w:val="1"/>
          <w:lang w:val="fr-CA"/>
        </w:rPr>
        <w:t>e</w:t>
      </w:r>
      <w:r w:rsidRPr="00C82DE5">
        <w:rPr>
          <w:spacing w:val="1"/>
          <w:lang w:val="fr-CA"/>
        </w:rPr>
        <w:t>v</w:t>
      </w:r>
      <w:r w:rsidR="00D0619F">
        <w:rPr>
          <w:spacing w:val="1"/>
          <w:lang w:val="fr-CA"/>
        </w:rPr>
        <w:t>a</w:t>
      </w:r>
      <w:r w:rsidRPr="00C82DE5">
        <w:rPr>
          <w:spacing w:val="1"/>
          <w:lang w:val="fr-CA"/>
        </w:rPr>
        <w:t xml:space="preserve">nt être divulgués au sujet des </w:t>
      </w:r>
      <w:r w:rsidR="00DB766C" w:rsidRPr="00C82DE5">
        <w:rPr>
          <w:spacing w:val="1"/>
          <w:lang w:val="fr-CA"/>
        </w:rPr>
        <w:t>questions</w:t>
      </w:r>
      <w:r w:rsidRPr="00C82DE5">
        <w:rPr>
          <w:spacing w:val="1"/>
          <w:lang w:val="fr-CA"/>
        </w:rPr>
        <w:t xml:space="preserve"> en litige les plus fréquemment soulevées dans le cadre d’un appel fondé sur l’article 40 de la </w:t>
      </w:r>
      <w:r w:rsidRPr="00C82DE5">
        <w:rPr>
          <w:i/>
          <w:lang w:val="fr-CA"/>
        </w:rPr>
        <w:t xml:space="preserve">Loi sur l’évaluation foncière </w:t>
      </w:r>
      <w:r w:rsidRPr="00C82DE5">
        <w:rPr>
          <w:iCs/>
          <w:lang w:val="fr-CA"/>
        </w:rPr>
        <w:t>et instruit par</w:t>
      </w:r>
      <w:r w:rsidR="00DB766C" w:rsidRPr="00C82DE5">
        <w:rPr>
          <w:iCs/>
          <w:lang w:val="fr-CA"/>
        </w:rPr>
        <w:t xml:space="preserve"> voie d’instance générale.</w:t>
      </w:r>
    </w:p>
    <w:p w14:paraId="20E8094F" w14:textId="77777777" w:rsidR="003E6B21" w:rsidRPr="00C82DE5" w:rsidRDefault="003E6B21" w:rsidP="003E6B21">
      <w:pPr>
        <w:pStyle w:val="BodyText"/>
        <w:rPr>
          <w:lang w:val="fr-CA"/>
        </w:rPr>
      </w:pPr>
    </w:p>
    <w:p w14:paraId="3FD6A22C" w14:textId="3B18C0E1" w:rsidR="003E6B21" w:rsidRDefault="00DB766C" w:rsidP="003E6B21">
      <w:pPr>
        <w:pStyle w:val="BodyText"/>
        <w:rPr>
          <w:lang w:val="fr-CA"/>
        </w:rPr>
      </w:pPr>
      <w:r w:rsidRPr="00C82DE5">
        <w:rPr>
          <w:lang w:val="fr-CA"/>
        </w:rPr>
        <w:t xml:space="preserve">Selon la </w:t>
      </w:r>
      <w:r w:rsidR="00D0619F">
        <w:rPr>
          <w:lang w:val="fr-CA"/>
        </w:rPr>
        <w:t>r</w:t>
      </w:r>
      <w:r w:rsidRPr="00C82DE5">
        <w:rPr>
          <w:lang w:val="fr-CA"/>
        </w:rPr>
        <w:t>ègle </w:t>
      </w:r>
      <w:r w:rsidR="002B5962" w:rsidRPr="00C82DE5">
        <w:rPr>
          <w:lang w:val="fr-CA"/>
        </w:rPr>
        <w:t xml:space="preserve">45, </w:t>
      </w:r>
      <w:r w:rsidRPr="00C82DE5">
        <w:rPr>
          <w:lang w:val="fr-CA"/>
        </w:rPr>
        <w:t xml:space="preserve">les parties sont tenues de fournir des documents pertinents. Le mot </w:t>
      </w:r>
      <w:r w:rsidRPr="00C82DE5">
        <w:rPr>
          <w:i/>
          <w:iCs/>
          <w:lang w:val="fr-CA"/>
        </w:rPr>
        <w:t>« pertinent »</w:t>
      </w:r>
      <w:r w:rsidRPr="00C82DE5">
        <w:rPr>
          <w:lang w:val="fr-CA"/>
        </w:rPr>
        <w:t xml:space="preserve"> signifie que le document doit être en lien avec l’affaire. Dans un</w:t>
      </w:r>
      <w:r w:rsidR="0024775B">
        <w:rPr>
          <w:lang w:val="fr-CA"/>
        </w:rPr>
        <w:t>e procédure d’</w:t>
      </w:r>
      <w:r w:rsidRPr="00C82DE5">
        <w:rPr>
          <w:lang w:val="fr-CA"/>
        </w:rPr>
        <w:t xml:space="preserve">appel, cela signifie que le document doit avoir trait </w:t>
      </w:r>
      <w:r w:rsidR="00D0619F">
        <w:rPr>
          <w:lang w:val="fr-CA"/>
        </w:rPr>
        <w:t>à</w:t>
      </w:r>
      <w:r w:rsidRPr="00C82DE5">
        <w:rPr>
          <w:lang w:val="fr-CA"/>
        </w:rPr>
        <w:t xml:space="preserve"> une question en litige. Ces questions sont indiquées dans les exposés de questions en litige, de réponse et de réplique</w:t>
      </w:r>
      <w:r w:rsidR="006F14DA">
        <w:rPr>
          <w:lang w:val="fr-CA"/>
        </w:rPr>
        <w:t xml:space="preserve"> qui sont décrits ci-dessus</w:t>
      </w:r>
      <w:r w:rsidRPr="00C82DE5">
        <w:rPr>
          <w:lang w:val="fr-CA"/>
        </w:rPr>
        <w:t>.</w:t>
      </w:r>
    </w:p>
    <w:p w14:paraId="3FAC53AD" w14:textId="77777777" w:rsidR="003E6B21" w:rsidRPr="00C82DE5" w:rsidRDefault="003E6B21" w:rsidP="003E6B21">
      <w:pPr>
        <w:pStyle w:val="BodyText"/>
        <w:rPr>
          <w:lang w:val="fr-CA"/>
        </w:rPr>
      </w:pPr>
    </w:p>
    <w:p w14:paraId="5D7A7304" w14:textId="3D77E07A" w:rsidR="003E6B21" w:rsidRPr="00A266EB" w:rsidRDefault="00D04247" w:rsidP="0051321A">
      <w:pPr>
        <w:pStyle w:val="Title"/>
        <w:spacing w:after="160"/>
        <w:jc w:val="left"/>
      </w:pPr>
      <w:r w:rsidRPr="00C82DE5">
        <w:t>Résumé</w:t>
      </w:r>
    </w:p>
    <w:p w14:paraId="06ED02DD" w14:textId="77777777" w:rsidR="003E6B21" w:rsidRPr="00A266EB" w:rsidRDefault="003D474D" w:rsidP="003E6B21">
      <w:pPr>
        <w:pStyle w:val="BodyText"/>
        <w:rPr>
          <w:lang w:val="fr-CA"/>
        </w:rPr>
      </w:pPr>
      <w:r w:rsidRPr="00A266EB">
        <w:rPr>
          <w:lang w:val="fr-CA"/>
        </w:rPr>
        <w:t>Les parties doivent divulguer tous les documents qui sont pertinents quant aux questions en litige. Les moments auxquels elles doivent le faire sont décrits ci-dessous.</w:t>
      </w:r>
    </w:p>
    <w:p w14:paraId="1A6822B5" w14:textId="3D9B392B" w:rsidR="002B5962" w:rsidRPr="00A266EB" w:rsidRDefault="003D474D" w:rsidP="003E6B21">
      <w:pPr>
        <w:pStyle w:val="BodyText"/>
        <w:rPr>
          <w:lang w:val="fr-CA"/>
        </w:rPr>
      </w:pPr>
      <w:r w:rsidRPr="00A266EB">
        <w:rPr>
          <w:lang w:val="fr-CA"/>
        </w:rPr>
        <w:t xml:space="preserve"> </w:t>
      </w:r>
    </w:p>
    <w:p w14:paraId="48898EE4" w14:textId="37CDC600" w:rsidR="002B5962" w:rsidRPr="006949EE" w:rsidRDefault="003E6B21" w:rsidP="0051321A">
      <w:pPr>
        <w:pStyle w:val="Title"/>
        <w:spacing w:after="160"/>
        <w:jc w:val="left"/>
        <w:rPr>
          <w:lang w:val="fr-CA"/>
        </w:rPr>
      </w:pPr>
      <w:r w:rsidRPr="006949EE">
        <w:rPr>
          <w:lang w:val="fr-CA"/>
        </w:rPr>
        <w:t xml:space="preserve">Distinction </w:t>
      </w:r>
      <w:r w:rsidR="006949EE">
        <w:rPr>
          <w:lang w:val="fr-CA"/>
        </w:rPr>
        <w:t>e</w:t>
      </w:r>
      <w:r w:rsidRPr="006949EE">
        <w:rPr>
          <w:lang w:val="fr-CA"/>
        </w:rPr>
        <w:t xml:space="preserve">ntre </w:t>
      </w:r>
      <w:r w:rsidR="006949EE">
        <w:rPr>
          <w:lang w:val="fr-CA"/>
        </w:rPr>
        <w:t>l</w:t>
      </w:r>
      <w:r w:rsidRPr="006949EE">
        <w:rPr>
          <w:lang w:val="fr-CA"/>
        </w:rPr>
        <w:t xml:space="preserve">a </w:t>
      </w:r>
      <w:r w:rsidR="006949EE">
        <w:rPr>
          <w:lang w:val="fr-CA"/>
        </w:rPr>
        <w:t>d</w:t>
      </w:r>
      <w:r w:rsidRPr="006949EE">
        <w:rPr>
          <w:lang w:val="fr-CA"/>
        </w:rPr>
        <w:t xml:space="preserve">ivulgation, </w:t>
      </w:r>
      <w:r w:rsidR="006949EE">
        <w:rPr>
          <w:lang w:val="fr-CA"/>
        </w:rPr>
        <w:t>l</w:t>
      </w:r>
      <w:r w:rsidRPr="006949EE">
        <w:rPr>
          <w:lang w:val="fr-CA"/>
        </w:rPr>
        <w:t xml:space="preserve">es </w:t>
      </w:r>
      <w:r w:rsidR="006949EE">
        <w:rPr>
          <w:lang w:val="fr-CA"/>
        </w:rPr>
        <w:t>d</w:t>
      </w:r>
      <w:r w:rsidRPr="006949EE">
        <w:rPr>
          <w:lang w:val="fr-CA"/>
        </w:rPr>
        <w:t xml:space="preserve">ocuments </w:t>
      </w:r>
      <w:r w:rsidR="006949EE">
        <w:rPr>
          <w:lang w:val="fr-CA"/>
        </w:rPr>
        <w:t>q</w:t>
      </w:r>
      <w:r w:rsidRPr="006949EE">
        <w:rPr>
          <w:lang w:val="fr-CA"/>
        </w:rPr>
        <w:t xml:space="preserve">ui </w:t>
      </w:r>
      <w:r w:rsidR="006949EE">
        <w:rPr>
          <w:lang w:val="fr-CA"/>
        </w:rPr>
        <w:t>s</w:t>
      </w:r>
      <w:r w:rsidRPr="006949EE">
        <w:rPr>
          <w:lang w:val="fr-CA"/>
        </w:rPr>
        <w:t xml:space="preserve">eront </w:t>
      </w:r>
      <w:r w:rsidR="006949EE">
        <w:rPr>
          <w:lang w:val="fr-CA"/>
        </w:rPr>
        <w:t>i</w:t>
      </w:r>
      <w:r w:rsidRPr="006949EE">
        <w:rPr>
          <w:lang w:val="fr-CA"/>
        </w:rPr>
        <w:t xml:space="preserve">nvoqués </w:t>
      </w:r>
      <w:r w:rsidR="0051321A" w:rsidRPr="006949EE">
        <w:rPr>
          <w:lang w:val="fr-CA"/>
        </w:rPr>
        <w:t>à</w:t>
      </w:r>
      <w:r w:rsidRPr="006949EE">
        <w:rPr>
          <w:lang w:val="fr-CA"/>
        </w:rPr>
        <w:t xml:space="preserve"> </w:t>
      </w:r>
      <w:r w:rsidR="006949EE">
        <w:rPr>
          <w:lang w:val="fr-CA"/>
        </w:rPr>
        <w:t>l</w:t>
      </w:r>
      <w:r w:rsidRPr="006949EE">
        <w:rPr>
          <w:lang w:val="fr-CA"/>
        </w:rPr>
        <w:t xml:space="preserve">’audience </w:t>
      </w:r>
      <w:r w:rsidR="006949EE">
        <w:rPr>
          <w:lang w:val="fr-CA"/>
        </w:rPr>
        <w:t>e</w:t>
      </w:r>
      <w:r w:rsidRPr="006949EE">
        <w:rPr>
          <w:lang w:val="fr-CA"/>
        </w:rPr>
        <w:t xml:space="preserve">t </w:t>
      </w:r>
      <w:r w:rsidR="006949EE">
        <w:rPr>
          <w:lang w:val="fr-CA"/>
        </w:rPr>
        <w:t>l</w:t>
      </w:r>
      <w:r w:rsidRPr="006949EE">
        <w:rPr>
          <w:lang w:val="fr-CA"/>
        </w:rPr>
        <w:t xml:space="preserve">a </w:t>
      </w:r>
      <w:r w:rsidR="006949EE">
        <w:rPr>
          <w:lang w:val="fr-CA"/>
        </w:rPr>
        <w:t>p</w:t>
      </w:r>
      <w:r w:rsidRPr="006949EE">
        <w:rPr>
          <w:lang w:val="fr-CA"/>
        </w:rPr>
        <w:t xml:space="preserve">reuve </w:t>
      </w:r>
      <w:r w:rsidR="006949EE">
        <w:rPr>
          <w:lang w:val="fr-CA"/>
        </w:rPr>
        <w:t>p</w:t>
      </w:r>
      <w:r w:rsidRPr="006949EE">
        <w:rPr>
          <w:lang w:val="fr-CA"/>
        </w:rPr>
        <w:t xml:space="preserve">résentée </w:t>
      </w:r>
      <w:r w:rsidR="006949EE">
        <w:rPr>
          <w:lang w:val="fr-CA"/>
        </w:rPr>
        <w:t>à</w:t>
      </w:r>
      <w:r w:rsidRPr="006949EE">
        <w:rPr>
          <w:lang w:val="fr-CA"/>
        </w:rPr>
        <w:t xml:space="preserve"> </w:t>
      </w:r>
      <w:r w:rsidR="006949EE">
        <w:rPr>
          <w:lang w:val="fr-CA"/>
        </w:rPr>
        <w:t>l</w:t>
      </w:r>
      <w:r w:rsidRPr="006949EE">
        <w:rPr>
          <w:lang w:val="fr-CA"/>
        </w:rPr>
        <w:t>’audience</w:t>
      </w:r>
      <w:r w:rsidR="003D474D" w:rsidRPr="006949EE">
        <w:rPr>
          <w:lang w:val="fr-CA"/>
        </w:rPr>
        <w:t xml:space="preserve">. </w:t>
      </w:r>
    </w:p>
    <w:p w14:paraId="689B2FF3" w14:textId="5A3C5AFA" w:rsidR="002B5962" w:rsidRPr="00A266EB" w:rsidRDefault="003D474D" w:rsidP="003E6B21">
      <w:pPr>
        <w:pStyle w:val="BodyText"/>
        <w:rPr>
          <w:lang w:val="fr-CA"/>
        </w:rPr>
      </w:pPr>
      <w:r w:rsidRPr="00A266EB">
        <w:rPr>
          <w:lang w:val="fr-CA"/>
        </w:rPr>
        <w:t>La divulgation</w:t>
      </w:r>
      <w:r w:rsidR="002B5962" w:rsidRPr="00A266EB">
        <w:rPr>
          <w:lang w:val="fr-CA"/>
        </w:rPr>
        <w:t xml:space="preserve"> </w:t>
      </w:r>
      <w:r w:rsidR="00600800" w:rsidRPr="00A266EB">
        <w:rPr>
          <w:lang w:val="fr-CA"/>
        </w:rPr>
        <w:t>(</w:t>
      </w:r>
      <w:r w:rsidR="00D0619F" w:rsidRPr="00A266EB">
        <w:rPr>
          <w:lang w:val="fr-CA"/>
        </w:rPr>
        <w:t xml:space="preserve">ou les </w:t>
      </w:r>
      <w:r w:rsidR="00606757" w:rsidRPr="00A266EB">
        <w:rPr>
          <w:lang w:val="fr-CA"/>
        </w:rPr>
        <w:t xml:space="preserve">documents </w:t>
      </w:r>
      <w:r w:rsidR="006F14DA" w:rsidRPr="00A266EB">
        <w:rPr>
          <w:lang w:val="fr-CA"/>
        </w:rPr>
        <w:t>à divulguer) vise l</w:t>
      </w:r>
      <w:r w:rsidR="00600800" w:rsidRPr="00A266EB">
        <w:rPr>
          <w:lang w:val="fr-CA"/>
        </w:rPr>
        <w:t xml:space="preserve">es </w:t>
      </w:r>
      <w:r w:rsidR="00606757" w:rsidRPr="00A266EB">
        <w:rPr>
          <w:lang w:val="fr-CA"/>
        </w:rPr>
        <w:t xml:space="preserve">documents </w:t>
      </w:r>
      <w:r w:rsidR="006F14DA" w:rsidRPr="00A266EB">
        <w:rPr>
          <w:lang w:val="fr-CA"/>
        </w:rPr>
        <w:t>qui sont pertinents au regard des</w:t>
      </w:r>
      <w:r w:rsidR="00600800" w:rsidRPr="00A266EB">
        <w:rPr>
          <w:lang w:val="fr-CA"/>
        </w:rPr>
        <w:t xml:space="preserve"> questions en litige.</w:t>
      </w:r>
    </w:p>
    <w:p w14:paraId="587B1EFB" w14:textId="77777777" w:rsidR="003E6B21" w:rsidRPr="00A266EB" w:rsidRDefault="003E6B21" w:rsidP="003E6B21">
      <w:pPr>
        <w:pStyle w:val="BodyText"/>
        <w:rPr>
          <w:lang w:val="fr-CA"/>
        </w:rPr>
      </w:pPr>
    </w:p>
    <w:p w14:paraId="3C6FC33D" w14:textId="77777777" w:rsidR="003E6B21" w:rsidRPr="00A266EB" w:rsidRDefault="00600800" w:rsidP="003E6B21">
      <w:pPr>
        <w:pStyle w:val="BodyText"/>
        <w:rPr>
          <w:lang w:val="fr-CA"/>
        </w:rPr>
      </w:pPr>
      <w:r w:rsidRPr="00A266EB">
        <w:rPr>
          <w:lang w:val="fr-CA"/>
        </w:rPr>
        <w:t>Les d</w:t>
      </w:r>
      <w:r w:rsidR="002B5962" w:rsidRPr="00A266EB">
        <w:rPr>
          <w:lang w:val="fr-CA"/>
        </w:rPr>
        <w:t xml:space="preserve">ocuments </w:t>
      </w:r>
      <w:r w:rsidRPr="00A266EB">
        <w:rPr>
          <w:lang w:val="fr-CA"/>
        </w:rPr>
        <w:t xml:space="preserve">qui seront invoqués à l’audience </w:t>
      </w:r>
      <w:r w:rsidR="00D0619F" w:rsidRPr="00A266EB">
        <w:rPr>
          <w:lang w:val="fr-CA"/>
        </w:rPr>
        <w:t>s’entendent d’</w:t>
      </w:r>
      <w:r w:rsidRPr="00A266EB">
        <w:rPr>
          <w:lang w:val="fr-CA"/>
        </w:rPr>
        <w:t xml:space="preserve">un sous-ensemble des documents pertinents qui ont été divulgués. Habituellement, les parties examineront les documents pertinents et sélectionneront uniquement ceux </w:t>
      </w:r>
      <w:r w:rsidR="00D0619F" w:rsidRPr="00A266EB">
        <w:rPr>
          <w:lang w:val="fr-CA"/>
        </w:rPr>
        <w:t xml:space="preserve">qui, à leur avis, doivent être présentés </w:t>
      </w:r>
      <w:r w:rsidRPr="00A266EB">
        <w:rPr>
          <w:lang w:val="fr-CA"/>
        </w:rPr>
        <w:t>à l’audience.</w:t>
      </w:r>
    </w:p>
    <w:p w14:paraId="248B5A6A" w14:textId="06606E2F" w:rsidR="002B5962" w:rsidRPr="00A266EB" w:rsidRDefault="00600800" w:rsidP="003E6B21">
      <w:pPr>
        <w:pStyle w:val="BodyText"/>
        <w:rPr>
          <w:lang w:val="fr-CA"/>
        </w:rPr>
      </w:pPr>
      <w:r w:rsidRPr="00A266EB">
        <w:rPr>
          <w:lang w:val="fr-CA"/>
        </w:rPr>
        <w:t xml:space="preserve"> </w:t>
      </w:r>
    </w:p>
    <w:p w14:paraId="403C2EDD" w14:textId="26A1BD8C" w:rsidR="0072540F" w:rsidRPr="00A266EB" w:rsidRDefault="00600800" w:rsidP="003E6B21">
      <w:pPr>
        <w:pStyle w:val="BodyText"/>
        <w:rPr>
          <w:lang w:val="fr-CA"/>
        </w:rPr>
      </w:pPr>
      <w:r w:rsidRPr="00A266EB">
        <w:rPr>
          <w:lang w:val="fr-CA"/>
        </w:rPr>
        <w:t>La preuve présentée à l’audience comprend les documents qui seront invoqués au cours de celle-ci ainsi que les témoignages de vive voix (tant l’interrogatoire principal que le contre-interrogatoire).</w:t>
      </w:r>
    </w:p>
    <w:p w14:paraId="25F17B27" w14:textId="77777777" w:rsidR="003E6B21" w:rsidRPr="00A266EB" w:rsidRDefault="003E6B21" w:rsidP="003E6B21">
      <w:pPr>
        <w:pStyle w:val="BodyText"/>
        <w:rPr>
          <w:lang w:val="fr-CA"/>
        </w:rPr>
      </w:pPr>
    </w:p>
    <w:p w14:paraId="2985F1CF" w14:textId="25BE0336" w:rsidR="003E6B21" w:rsidRPr="00A266EB" w:rsidRDefault="003E6B21" w:rsidP="006949EE">
      <w:pPr>
        <w:pStyle w:val="Title"/>
        <w:spacing w:after="160"/>
        <w:jc w:val="left"/>
        <w:rPr>
          <w:lang w:val="fr-CA"/>
        </w:rPr>
      </w:pPr>
      <w:r w:rsidRPr="006949EE">
        <w:rPr>
          <w:lang w:val="fr-CA"/>
        </w:rPr>
        <w:lastRenderedPageBreak/>
        <w:t xml:space="preserve">Divulgation </w:t>
      </w:r>
      <w:r w:rsidR="006949EE">
        <w:rPr>
          <w:lang w:val="fr-CA"/>
        </w:rPr>
        <w:t>i</w:t>
      </w:r>
      <w:r w:rsidRPr="006949EE">
        <w:rPr>
          <w:lang w:val="fr-CA"/>
        </w:rPr>
        <w:t xml:space="preserve">nitiale </w:t>
      </w:r>
      <w:r w:rsidR="006949EE">
        <w:rPr>
          <w:lang w:val="fr-CA"/>
        </w:rPr>
        <w:t>e</w:t>
      </w:r>
      <w:r w:rsidRPr="006949EE">
        <w:rPr>
          <w:lang w:val="fr-CA"/>
        </w:rPr>
        <w:t xml:space="preserve">xigée </w:t>
      </w:r>
      <w:r w:rsidR="006949EE">
        <w:rPr>
          <w:lang w:val="fr-CA"/>
        </w:rPr>
        <w:t>s</w:t>
      </w:r>
      <w:r w:rsidRPr="006949EE">
        <w:rPr>
          <w:lang w:val="fr-CA"/>
        </w:rPr>
        <w:t xml:space="preserve">elon </w:t>
      </w:r>
      <w:r w:rsidR="006949EE">
        <w:rPr>
          <w:lang w:val="fr-CA"/>
        </w:rPr>
        <w:t>l</w:t>
      </w:r>
      <w:r w:rsidRPr="006949EE">
        <w:rPr>
          <w:lang w:val="fr-CA"/>
        </w:rPr>
        <w:t xml:space="preserve">e </w:t>
      </w:r>
      <w:r w:rsidR="006949EE">
        <w:rPr>
          <w:lang w:val="fr-CA"/>
        </w:rPr>
        <w:t>c</w:t>
      </w:r>
      <w:r w:rsidRPr="006949EE">
        <w:rPr>
          <w:lang w:val="fr-CA"/>
        </w:rPr>
        <w:t xml:space="preserve">alendrier </w:t>
      </w:r>
      <w:r w:rsidR="006949EE">
        <w:rPr>
          <w:lang w:val="fr-CA"/>
        </w:rPr>
        <w:t>d</w:t>
      </w:r>
      <w:r w:rsidRPr="006949EE">
        <w:rPr>
          <w:lang w:val="fr-CA"/>
        </w:rPr>
        <w:t xml:space="preserve">es </w:t>
      </w:r>
      <w:r w:rsidR="006949EE" w:rsidRPr="006949EE">
        <w:rPr>
          <w:lang w:val="fr-CA"/>
        </w:rPr>
        <w:t>p</w:t>
      </w:r>
      <w:r w:rsidRPr="006949EE">
        <w:rPr>
          <w:lang w:val="fr-CA"/>
        </w:rPr>
        <w:t xml:space="preserve">rocédures </w:t>
      </w:r>
    </w:p>
    <w:p w14:paraId="5E88BB5C" w14:textId="77777777" w:rsidR="003E6B21" w:rsidRPr="00A266EB" w:rsidRDefault="0072540F" w:rsidP="003E6B21">
      <w:pPr>
        <w:pStyle w:val="BodyText"/>
        <w:rPr>
          <w:lang w:val="fr-CA"/>
        </w:rPr>
      </w:pPr>
      <w:r w:rsidRPr="00A266EB">
        <w:rPr>
          <w:lang w:val="fr-CA"/>
        </w:rPr>
        <w:t>T</w:t>
      </w:r>
      <w:r w:rsidR="006F14DA" w:rsidRPr="00A266EB">
        <w:rPr>
          <w:lang w:val="fr-CA"/>
        </w:rPr>
        <w:t>el qu’il est mentionné plus haut</w:t>
      </w:r>
      <w:r w:rsidRPr="00A266EB">
        <w:rPr>
          <w:lang w:val="fr-CA"/>
        </w:rPr>
        <w:t xml:space="preserve">, l’obligation de divulguer un document dépend de </w:t>
      </w:r>
      <w:r w:rsidR="00D0619F" w:rsidRPr="00A266EB">
        <w:rPr>
          <w:lang w:val="fr-CA"/>
        </w:rPr>
        <w:t>l</w:t>
      </w:r>
      <w:r w:rsidRPr="00A266EB">
        <w:rPr>
          <w:lang w:val="fr-CA"/>
        </w:rPr>
        <w:t xml:space="preserve">a pertinence </w:t>
      </w:r>
      <w:r w:rsidR="00D0619F" w:rsidRPr="00A266EB">
        <w:rPr>
          <w:lang w:val="fr-CA"/>
        </w:rPr>
        <w:t xml:space="preserve">de celui-ci </w:t>
      </w:r>
      <w:r w:rsidRPr="00A266EB">
        <w:rPr>
          <w:lang w:val="fr-CA"/>
        </w:rPr>
        <w:t xml:space="preserve">quant à une question en litige; cependant, il est possible que les </w:t>
      </w:r>
      <w:r w:rsidR="00873198" w:rsidRPr="00A266EB">
        <w:rPr>
          <w:lang w:val="fr-CA"/>
        </w:rPr>
        <w:t>questions</w:t>
      </w:r>
      <w:r w:rsidRPr="00A266EB">
        <w:rPr>
          <w:lang w:val="fr-CA"/>
        </w:rPr>
        <w:t xml:space="preserve"> en litige ne soient entièrement déterminées </w:t>
      </w:r>
      <w:r w:rsidR="00D0619F" w:rsidRPr="00A266EB">
        <w:rPr>
          <w:lang w:val="fr-CA"/>
        </w:rPr>
        <w:t xml:space="preserve">qu’une fois </w:t>
      </w:r>
      <w:r w:rsidRPr="00A266EB">
        <w:rPr>
          <w:lang w:val="fr-CA"/>
        </w:rPr>
        <w:t xml:space="preserve">que les parties qui répondent à l’appelant </w:t>
      </w:r>
      <w:r w:rsidR="00D0619F" w:rsidRPr="00A266EB">
        <w:rPr>
          <w:lang w:val="fr-CA"/>
        </w:rPr>
        <w:t>o</w:t>
      </w:r>
      <w:r w:rsidRPr="00A266EB">
        <w:rPr>
          <w:lang w:val="fr-CA"/>
        </w:rPr>
        <w:t>nt signifié leurs exposés de réponse. C</w:t>
      </w:r>
      <w:r w:rsidR="00833E01" w:rsidRPr="00A266EB">
        <w:rPr>
          <w:lang w:val="fr-CA"/>
        </w:rPr>
        <w:t>ela représente un défi</w:t>
      </w:r>
      <w:r w:rsidR="00D439E2" w:rsidRPr="00A266EB">
        <w:rPr>
          <w:lang w:val="fr-CA"/>
        </w:rPr>
        <w:t xml:space="preserve"> </w:t>
      </w:r>
      <w:r w:rsidRPr="00A266EB">
        <w:rPr>
          <w:lang w:val="fr-CA"/>
        </w:rPr>
        <w:t>pour l’appelant, qui doit être le premier à préparer et à signifier un exposé des questions en litige. L’appelant qui conna</w:t>
      </w:r>
      <w:r w:rsidR="00873198" w:rsidRPr="00A266EB">
        <w:rPr>
          <w:lang w:val="fr-CA"/>
        </w:rPr>
        <w:t>î</w:t>
      </w:r>
      <w:r w:rsidRPr="00A266EB">
        <w:rPr>
          <w:lang w:val="fr-CA"/>
        </w:rPr>
        <w:t xml:space="preserve">t uniquement la valeur imposable de la </w:t>
      </w:r>
      <w:r w:rsidR="00873198" w:rsidRPr="00A266EB">
        <w:rPr>
          <w:lang w:val="fr-CA"/>
        </w:rPr>
        <w:t xml:space="preserve">propriété </w:t>
      </w:r>
      <w:r w:rsidRPr="00A266EB">
        <w:rPr>
          <w:lang w:val="fr-CA"/>
        </w:rPr>
        <w:t>établie par la SEFM pourrait avoir du mal à préparer un résumé exhaustif de</w:t>
      </w:r>
      <w:r w:rsidR="006F5F5A" w:rsidRPr="00A266EB">
        <w:rPr>
          <w:lang w:val="fr-CA"/>
        </w:rPr>
        <w:t xml:space="preserve"> son </w:t>
      </w:r>
      <w:r w:rsidRPr="00A266EB">
        <w:rPr>
          <w:lang w:val="fr-CA"/>
        </w:rPr>
        <w:t>analyse d’évaluation dans son exposé des question</w:t>
      </w:r>
      <w:r w:rsidR="00873198" w:rsidRPr="00A266EB">
        <w:rPr>
          <w:lang w:val="fr-CA"/>
        </w:rPr>
        <w:t>s</w:t>
      </w:r>
      <w:r w:rsidRPr="00A266EB">
        <w:rPr>
          <w:lang w:val="fr-CA"/>
        </w:rPr>
        <w:t xml:space="preserve"> en litige.</w:t>
      </w:r>
    </w:p>
    <w:p w14:paraId="392F0D6C" w14:textId="4828C134" w:rsidR="00873198" w:rsidRPr="00A266EB" w:rsidRDefault="0072540F" w:rsidP="003E6B21">
      <w:pPr>
        <w:pStyle w:val="BodyText"/>
        <w:rPr>
          <w:lang w:val="fr-CA"/>
        </w:rPr>
      </w:pPr>
      <w:r w:rsidRPr="00A266EB">
        <w:rPr>
          <w:lang w:val="fr-CA"/>
        </w:rPr>
        <w:t xml:space="preserve"> </w:t>
      </w:r>
    </w:p>
    <w:p w14:paraId="7320312D" w14:textId="3E889F99" w:rsidR="002B5962" w:rsidRPr="00A266EB" w:rsidRDefault="00873198" w:rsidP="003E6B21">
      <w:pPr>
        <w:pStyle w:val="BodyText"/>
        <w:rPr>
          <w:lang w:val="fr-CA"/>
        </w:rPr>
      </w:pPr>
      <w:r w:rsidRPr="00A266EB">
        <w:rPr>
          <w:lang w:val="fr-CA"/>
        </w:rPr>
        <w:t xml:space="preserve">En conséquence, la SEFM a convenu de divulguer suffisamment de renseignements </w:t>
      </w:r>
      <w:r w:rsidR="006F5F5A" w:rsidRPr="00A266EB">
        <w:rPr>
          <w:lang w:val="fr-CA"/>
        </w:rPr>
        <w:t xml:space="preserve">et documents </w:t>
      </w:r>
      <w:r w:rsidRPr="00A266EB">
        <w:rPr>
          <w:lang w:val="fr-CA"/>
        </w:rPr>
        <w:t xml:space="preserve">avant la détermination des questions en litige pour </w:t>
      </w:r>
      <w:r w:rsidR="006F5F5A" w:rsidRPr="00A266EB">
        <w:rPr>
          <w:lang w:val="fr-CA"/>
        </w:rPr>
        <w:t xml:space="preserve">permettre à l’appelant de </w:t>
      </w:r>
      <w:r w:rsidRPr="00A266EB">
        <w:rPr>
          <w:lang w:val="fr-CA"/>
        </w:rPr>
        <w:t>présenter un exposé de</w:t>
      </w:r>
      <w:r w:rsidR="00D439E2" w:rsidRPr="00A266EB">
        <w:rPr>
          <w:lang w:val="fr-CA"/>
        </w:rPr>
        <w:t>s</w:t>
      </w:r>
      <w:r w:rsidRPr="00A266EB">
        <w:rPr>
          <w:lang w:val="fr-CA"/>
        </w:rPr>
        <w:t xml:space="preserve"> questions en litige clair et concis. La divulgation initiale n’est pas fondée sur une détermination de</w:t>
      </w:r>
      <w:r w:rsidR="00D439E2" w:rsidRPr="00A266EB">
        <w:rPr>
          <w:lang w:val="fr-CA"/>
        </w:rPr>
        <w:t xml:space="preserve"> la</w:t>
      </w:r>
      <w:r w:rsidRPr="00A266EB">
        <w:rPr>
          <w:lang w:val="fr-CA"/>
        </w:rPr>
        <w:t xml:space="preserve"> pertinence des documents fournis quant aux questions en litige, car celles-ci n’ont pas encore été cernées.</w:t>
      </w:r>
    </w:p>
    <w:p w14:paraId="1A5F8EFF" w14:textId="77777777" w:rsidR="003E6B21" w:rsidRPr="00A266EB" w:rsidRDefault="003E6B21" w:rsidP="003E6B21">
      <w:pPr>
        <w:pStyle w:val="BodyText"/>
        <w:rPr>
          <w:lang w:val="fr-CA"/>
        </w:rPr>
      </w:pPr>
    </w:p>
    <w:p w14:paraId="13607B27" w14:textId="2BB6FA94" w:rsidR="002B5962" w:rsidRPr="003E6B21" w:rsidRDefault="00173E53" w:rsidP="003E6B21">
      <w:pPr>
        <w:pStyle w:val="BodyText"/>
      </w:pPr>
      <w:r w:rsidRPr="00A266EB">
        <w:rPr>
          <w:lang w:val="fr-CA"/>
        </w:rPr>
        <w:t>La</w:t>
      </w:r>
      <w:r w:rsidR="002B5962" w:rsidRPr="00A266EB">
        <w:rPr>
          <w:lang w:val="fr-CA"/>
        </w:rPr>
        <w:t xml:space="preserve"> </w:t>
      </w:r>
      <w:r w:rsidRPr="00A266EB">
        <w:rPr>
          <w:lang w:val="fr-CA"/>
        </w:rPr>
        <w:t>Commission</w:t>
      </w:r>
      <w:r w:rsidR="002B5962" w:rsidRPr="00A266EB">
        <w:rPr>
          <w:lang w:val="fr-CA"/>
        </w:rPr>
        <w:t xml:space="preserve"> </w:t>
      </w:r>
      <w:r w:rsidRPr="00A266EB">
        <w:rPr>
          <w:lang w:val="fr-CA"/>
        </w:rPr>
        <w:t xml:space="preserve">a consulté des représentants de sa communauté d’intervenants au sujet de l’élaboration </w:t>
      </w:r>
      <w:r w:rsidR="00D439E2" w:rsidRPr="00A266EB">
        <w:rPr>
          <w:lang w:val="fr-CA"/>
        </w:rPr>
        <w:t xml:space="preserve">du calendrier </w:t>
      </w:r>
      <w:r w:rsidRPr="00A266EB">
        <w:rPr>
          <w:lang w:val="fr-CA"/>
        </w:rPr>
        <w:t xml:space="preserve">des procédures et de la </w:t>
      </w:r>
      <w:r w:rsidR="003D474D" w:rsidRPr="00A266EB">
        <w:rPr>
          <w:lang w:val="fr-CA"/>
        </w:rPr>
        <w:t>divulgation</w:t>
      </w:r>
      <w:r w:rsidR="002B5962" w:rsidRPr="00A266EB">
        <w:rPr>
          <w:lang w:val="fr-CA"/>
        </w:rPr>
        <w:t xml:space="preserve">. </w:t>
      </w:r>
      <w:r w:rsidRPr="00A266EB">
        <w:rPr>
          <w:lang w:val="fr-CA"/>
        </w:rPr>
        <w:t>Il existe un</w:t>
      </w:r>
      <w:r w:rsidR="002B5962" w:rsidRPr="00A266EB">
        <w:rPr>
          <w:lang w:val="fr-CA"/>
        </w:rPr>
        <w:t xml:space="preserve"> consensus </w:t>
      </w:r>
      <w:r w:rsidRPr="00A266EB">
        <w:rPr>
          <w:lang w:val="fr-CA"/>
        </w:rPr>
        <w:t xml:space="preserve">selon lequel la SEFM a fait une </w:t>
      </w:r>
      <w:r w:rsidR="003D474D" w:rsidRPr="00A266EB">
        <w:rPr>
          <w:lang w:val="fr-CA"/>
        </w:rPr>
        <w:t>divulgation</w:t>
      </w:r>
      <w:r w:rsidR="002B5962" w:rsidRPr="00A266EB">
        <w:rPr>
          <w:lang w:val="fr-CA"/>
        </w:rPr>
        <w:t xml:space="preserve"> </w:t>
      </w:r>
      <w:r w:rsidRPr="00A266EB">
        <w:rPr>
          <w:lang w:val="fr-CA"/>
        </w:rPr>
        <w:t>initiale exhaustive dans son système de base de données en ligne « </w:t>
      </w:r>
      <w:r w:rsidR="002B5962" w:rsidRPr="00A266EB">
        <w:rPr>
          <w:lang w:val="fr-CA"/>
        </w:rPr>
        <w:t xml:space="preserve">About </w:t>
      </w:r>
      <w:proofErr w:type="spellStart"/>
      <w:r w:rsidR="002B5962" w:rsidRPr="00A266EB">
        <w:rPr>
          <w:lang w:val="fr-CA"/>
        </w:rPr>
        <w:t>My</w:t>
      </w:r>
      <w:proofErr w:type="spellEnd"/>
      <w:r w:rsidR="002B5962" w:rsidRPr="00A266EB">
        <w:rPr>
          <w:lang w:val="fr-CA"/>
        </w:rPr>
        <w:t xml:space="preserve"> </w:t>
      </w:r>
      <w:proofErr w:type="spellStart"/>
      <w:r w:rsidR="002B5962" w:rsidRPr="00A266EB">
        <w:rPr>
          <w:lang w:val="fr-CA"/>
        </w:rPr>
        <w:t>Property</w:t>
      </w:r>
      <w:proofErr w:type="spellEnd"/>
      <w:r w:rsidRPr="00A266EB">
        <w:rPr>
          <w:lang w:val="fr-CA"/>
        </w:rPr>
        <w:t xml:space="preserve"> ». </w:t>
      </w:r>
      <w:proofErr w:type="spellStart"/>
      <w:r w:rsidRPr="003E6B21">
        <w:t>Cette</w:t>
      </w:r>
      <w:proofErr w:type="spellEnd"/>
      <w:r w:rsidRPr="003E6B21">
        <w:t xml:space="preserve"> </w:t>
      </w:r>
      <w:r w:rsidR="003D474D" w:rsidRPr="003E6B21">
        <w:t>divulgation</w:t>
      </w:r>
      <w:r w:rsidRPr="003E6B21">
        <w:t xml:space="preserve"> </w:t>
      </w:r>
      <w:proofErr w:type="spellStart"/>
      <w:r w:rsidRPr="003E6B21">
        <w:t>initiale</w:t>
      </w:r>
      <w:proofErr w:type="spellEnd"/>
      <w:r w:rsidRPr="003E6B21">
        <w:t xml:space="preserve"> </w:t>
      </w:r>
      <w:proofErr w:type="spellStart"/>
      <w:r w:rsidRPr="003E6B21">
        <w:t>comporte</w:t>
      </w:r>
      <w:proofErr w:type="spellEnd"/>
      <w:r w:rsidRPr="003E6B21">
        <w:t xml:space="preserve"> trois </w:t>
      </w:r>
      <w:proofErr w:type="spellStart"/>
      <w:r w:rsidRPr="003E6B21">
        <w:t>principaux</w:t>
      </w:r>
      <w:proofErr w:type="spellEnd"/>
      <w:r w:rsidRPr="003E6B21">
        <w:t xml:space="preserve"> </w:t>
      </w:r>
      <w:proofErr w:type="spellStart"/>
      <w:r w:rsidRPr="003E6B21">
        <w:t>éléments</w:t>
      </w:r>
      <w:proofErr w:type="spellEnd"/>
      <w:r w:rsidRPr="003E6B21">
        <w:t> :</w:t>
      </w:r>
    </w:p>
    <w:p w14:paraId="77614475" w14:textId="289C544F" w:rsidR="002B5962" w:rsidRPr="00C82DE5" w:rsidRDefault="008F265F" w:rsidP="002B5962">
      <w:pPr>
        <w:pStyle w:val="ListParagraph"/>
        <w:widowControl w:val="0"/>
        <w:numPr>
          <w:ilvl w:val="0"/>
          <w:numId w:val="9"/>
        </w:numPr>
        <w:tabs>
          <w:tab w:val="left" w:pos="880"/>
          <w:tab w:val="left" w:pos="881"/>
        </w:tabs>
        <w:autoSpaceDE w:val="0"/>
        <w:autoSpaceDN w:val="0"/>
        <w:spacing w:before="163" w:after="0" w:line="240" w:lineRule="auto"/>
        <w:ind w:left="880" w:hanging="361"/>
        <w:contextualSpacing w:val="0"/>
        <w:rPr>
          <w:rFonts w:ascii="Arial" w:hAnsi="Arial" w:cs="Arial"/>
          <w:bCs/>
          <w:sz w:val="24"/>
          <w:szCs w:val="24"/>
          <w:lang w:val="fr-CA"/>
        </w:rPr>
      </w:pPr>
      <w:r w:rsidRPr="00C82DE5">
        <w:rPr>
          <w:rFonts w:ascii="Arial" w:hAnsi="Arial" w:cs="Arial"/>
          <w:bCs/>
          <w:sz w:val="24"/>
          <w:szCs w:val="24"/>
          <w:lang w:val="fr-CA"/>
        </w:rPr>
        <w:t>des guides méthodologiques qui décrivent les méthodes d’évaluation;</w:t>
      </w:r>
    </w:p>
    <w:p w14:paraId="698C2CAB" w14:textId="672BDC1F" w:rsidR="002B5962" w:rsidRPr="00C82DE5" w:rsidRDefault="008F265F" w:rsidP="00A40B38">
      <w:pPr>
        <w:pStyle w:val="ListParagraph"/>
        <w:widowControl w:val="0"/>
        <w:numPr>
          <w:ilvl w:val="0"/>
          <w:numId w:val="9"/>
        </w:numPr>
        <w:tabs>
          <w:tab w:val="left" w:pos="880"/>
          <w:tab w:val="left" w:pos="881"/>
        </w:tabs>
        <w:autoSpaceDE w:val="0"/>
        <w:autoSpaceDN w:val="0"/>
        <w:spacing w:before="66" w:after="0" w:line="240" w:lineRule="auto"/>
        <w:ind w:left="880" w:right="571"/>
        <w:contextualSpacing w:val="0"/>
        <w:rPr>
          <w:rFonts w:ascii="Arial" w:hAnsi="Arial" w:cs="Arial"/>
          <w:bCs/>
          <w:sz w:val="24"/>
          <w:szCs w:val="24"/>
          <w:lang w:val="fr-CA"/>
        </w:rPr>
      </w:pPr>
      <w:r w:rsidRPr="00C82DE5">
        <w:rPr>
          <w:rFonts w:ascii="Arial" w:hAnsi="Arial" w:cs="Arial"/>
          <w:bCs/>
          <w:sz w:val="24"/>
          <w:szCs w:val="24"/>
          <w:lang w:val="fr-CA"/>
        </w:rPr>
        <w:t xml:space="preserve">des analyses, soit des rapports d’évaluation du marché qui expliquent la façon </w:t>
      </w:r>
      <w:r w:rsidR="00D439E2">
        <w:rPr>
          <w:rFonts w:ascii="Arial" w:hAnsi="Arial" w:cs="Arial"/>
          <w:bCs/>
          <w:sz w:val="24"/>
          <w:szCs w:val="24"/>
          <w:lang w:val="fr-CA"/>
        </w:rPr>
        <w:t xml:space="preserve">dont </w:t>
      </w:r>
      <w:r w:rsidRPr="00C82DE5">
        <w:rPr>
          <w:rFonts w:ascii="Arial" w:hAnsi="Arial" w:cs="Arial"/>
          <w:bCs/>
          <w:sz w:val="24"/>
          <w:szCs w:val="24"/>
          <w:lang w:val="fr-CA"/>
        </w:rPr>
        <w:t>une méthod</w:t>
      </w:r>
      <w:r w:rsidR="00D439E2">
        <w:rPr>
          <w:rFonts w:ascii="Arial" w:hAnsi="Arial" w:cs="Arial"/>
          <w:bCs/>
          <w:sz w:val="24"/>
          <w:szCs w:val="24"/>
          <w:lang w:val="fr-CA"/>
        </w:rPr>
        <w:t>ologie</w:t>
      </w:r>
      <w:r w:rsidRPr="00C82DE5">
        <w:rPr>
          <w:rFonts w:ascii="Arial" w:hAnsi="Arial" w:cs="Arial"/>
          <w:bCs/>
          <w:sz w:val="24"/>
          <w:szCs w:val="24"/>
          <w:lang w:val="fr-CA"/>
        </w:rPr>
        <w:t xml:space="preserve"> d’évaluation </w:t>
      </w:r>
      <w:r w:rsidR="00D439E2">
        <w:rPr>
          <w:rFonts w:ascii="Arial" w:hAnsi="Arial" w:cs="Arial"/>
          <w:bCs/>
          <w:sz w:val="24"/>
          <w:szCs w:val="24"/>
          <w:lang w:val="fr-CA"/>
        </w:rPr>
        <w:t>est appliquée à</w:t>
      </w:r>
      <w:r w:rsidRPr="00C82DE5">
        <w:rPr>
          <w:rFonts w:ascii="Arial" w:hAnsi="Arial" w:cs="Arial"/>
          <w:bCs/>
          <w:sz w:val="24"/>
          <w:szCs w:val="24"/>
          <w:lang w:val="fr-CA"/>
        </w:rPr>
        <w:t xml:space="preserve"> d</w:t>
      </w:r>
      <w:r w:rsidR="00D439E2">
        <w:rPr>
          <w:rFonts w:ascii="Arial" w:hAnsi="Arial" w:cs="Arial"/>
          <w:bCs/>
          <w:sz w:val="24"/>
          <w:szCs w:val="24"/>
          <w:lang w:val="fr-CA"/>
        </w:rPr>
        <w:t>es</w:t>
      </w:r>
      <w:r w:rsidRPr="00C82DE5">
        <w:rPr>
          <w:rFonts w:ascii="Arial" w:hAnsi="Arial" w:cs="Arial"/>
          <w:bCs/>
          <w:sz w:val="24"/>
          <w:szCs w:val="24"/>
          <w:lang w:val="fr-CA"/>
        </w:rPr>
        <w:t xml:space="preserve"> propriété</w:t>
      </w:r>
      <w:r w:rsidR="00D439E2">
        <w:rPr>
          <w:rFonts w:ascii="Arial" w:hAnsi="Arial" w:cs="Arial"/>
          <w:bCs/>
          <w:sz w:val="24"/>
          <w:szCs w:val="24"/>
          <w:lang w:val="fr-CA"/>
        </w:rPr>
        <w:t>s</w:t>
      </w:r>
      <w:r w:rsidRPr="00C82DE5">
        <w:rPr>
          <w:rFonts w:ascii="Arial" w:hAnsi="Arial" w:cs="Arial"/>
          <w:bCs/>
          <w:sz w:val="24"/>
          <w:szCs w:val="24"/>
          <w:lang w:val="fr-CA"/>
        </w:rPr>
        <w:t>;</w:t>
      </w:r>
    </w:p>
    <w:p w14:paraId="5EB5EB58" w14:textId="5E7BAB24" w:rsidR="002B5962" w:rsidRPr="00D85710" w:rsidRDefault="008F265F" w:rsidP="00D85710">
      <w:pPr>
        <w:pStyle w:val="ListParagraph"/>
        <w:widowControl w:val="0"/>
        <w:numPr>
          <w:ilvl w:val="0"/>
          <w:numId w:val="9"/>
        </w:numPr>
        <w:tabs>
          <w:tab w:val="left" w:pos="880"/>
          <w:tab w:val="left" w:pos="881"/>
        </w:tabs>
        <w:autoSpaceDE w:val="0"/>
        <w:autoSpaceDN w:val="0"/>
        <w:spacing w:before="4" w:line="240" w:lineRule="auto"/>
        <w:ind w:left="885" w:hanging="363"/>
        <w:contextualSpacing w:val="0"/>
        <w:rPr>
          <w:rFonts w:ascii="Arial" w:hAnsi="Arial" w:cs="Arial"/>
          <w:bCs/>
          <w:sz w:val="24"/>
          <w:szCs w:val="24"/>
          <w:lang w:val="fr-CA"/>
        </w:rPr>
      </w:pPr>
      <w:r w:rsidRPr="00C82DE5">
        <w:rPr>
          <w:rFonts w:ascii="Arial" w:hAnsi="Arial" w:cs="Arial"/>
          <w:bCs/>
          <w:sz w:val="24"/>
          <w:szCs w:val="24"/>
          <w:lang w:val="fr-CA"/>
        </w:rPr>
        <w:t xml:space="preserve">des renseignements </w:t>
      </w:r>
      <w:r w:rsidR="00D439E2">
        <w:rPr>
          <w:rFonts w:ascii="Arial" w:hAnsi="Arial" w:cs="Arial"/>
          <w:bCs/>
          <w:sz w:val="24"/>
          <w:szCs w:val="24"/>
          <w:lang w:val="fr-CA"/>
        </w:rPr>
        <w:t>sur</w:t>
      </w:r>
      <w:r w:rsidRPr="00C82DE5">
        <w:rPr>
          <w:rFonts w:ascii="Arial" w:hAnsi="Arial" w:cs="Arial"/>
          <w:bCs/>
          <w:sz w:val="24"/>
          <w:szCs w:val="24"/>
          <w:lang w:val="fr-CA"/>
        </w:rPr>
        <w:t xml:space="preserve"> l’évaluation </w:t>
      </w:r>
      <w:r w:rsidR="00D439E2">
        <w:rPr>
          <w:rFonts w:ascii="Arial" w:hAnsi="Arial" w:cs="Arial"/>
          <w:bCs/>
          <w:sz w:val="24"/>
          <w:szCs w:val="24"/>
          <w:lang w:val="fr-CA"/>
        </w:rPr>
        <w:t xml:space="preserve">spécifiques à </w:t>
      </w:r>
      <w:r w:rsidRPr="00C82DE5">
        <w:rPr>
          <w:rFonts w:ascii="Arial" w:hAnsi="Arial" w:cs="Arial"/>
          <w:bCs/>
          <w:sz w:val="24"/>
          <w:szCs w:val="24"/>
          <w:lang w:val="fr-CA"/>
        </w:rPr>
        <w:t>une propriété.</w:t>
      </w:r>
    </w:p>
    <w:p w14:paraId="270231A3" w14:textId="5EFD7B04" w:rsidR="002B5962" w:rsidRPr="00A266EB" w:rsidRDefault="00B8041C" w:rsidP="003E6B21">
      <w:pPr>
        <w:pStyle w:val="BodyText"/>
        <w:rPr>
          <w:lang w:val="fr-CA"/>
        </w:rPr>
      </w:pPr>
      <w:r w:rsidRPr="00A266EB">
        <w:rPr>
          <w:lang w:val="fr-CA"/>
        </w:rPr>
        <w:t xml:space="preserve">Par conséquent, la </w:t>
      </w:r>
      <w:r w:rsidR="00173E53" w:rsidRPr="00A266EB">
        <w:rPr>
          <w:lang w:val="fr-CA"/>
        </w:rPr>
        <w:t>Commission</w:t>
      </w:r>
      <w:r w:rsidR="002B5962" w:rsidRPr="00A266EB">
        <w:rPr>
          <w:lang w:val="fr-CA"/>
        </w:rPr>
        <w:t xml:space="preserve"> </w:t>
      </w:r>
      <w:r w:rsidRPr="00A266EB">
        <w:rPr>
          <w:lang w:val="fr-CA"/>
        </w:rPr>
        <w:t xml:space="preserve">ne prévoit </w:t>
      </w:r>
      <w:r w:rsidR="00D439E2" w:rsidRPr="00A266EB">
        <w:rPr>
          <w:lang w:val="fr-CA"/>
        </w:rPr>
        <w:t>que peu de</w:t>
      </w:r>
      <w:r w:rsidRPr="00A266EB">
        <w:rPr>
          <w:lang w:val="fr-CA"/>
        </w:rPr>
        <w:t xml:space="preserve"> différends, </w:t>
      </w:r>
      <w:r w:rsidR="00A40B38" w:rsidRPr="00A266EB">
        <w:rPr>
          <w:lang w:val="fr-CA"/>
        </w:rPr>
        <w:t>s’il en est</w:t>
      </w:r>
      <w:r w:rsidRPr="00A266EB">
        <w:rPr>
          <w:lang w:val="fr-CA"/>
        </w:rPr>
        <w:t xml:space="preserve">, au sujet de la </w:t>
      </w:r>
      <w:r w:rsidR="003D474D" w:rsidRPr="00A266EB">
        <w:rPr>
          <w:lang w:val="fr-CA"/>
        </w:rPr>
        <w:t>divulgation</w:t>
      </w:r>
      <w:r w:rsidRPr="00A266EB">
        <w:rPr>
          <w:lang w:val="fr-CA"/>
        </w:rPr>
        <w:t xml:space="preserve"> initiale</w:t>
      </w:r>
      <w:r w:rsidR="002B5962" w:rsidRPr="00A266EB">
        <w:rPr>
          <w:lang w:val="fr-CA"/>
        </w:rPr>
        <w:t>.</w:t>
      </w:r>
    </w:p>
    <w:p w14:paraId="3D653300" w14:textId="77777777" w:rsidR="003E6B21" w:rsidRPr="00A266EB" w:rsidRDefault="003E6B21" w:rsidP="003E6B21">
      <w:pPr>
        <w:pStyle w:val="BodyText"/>
        <w:rPr>
          <w:lang w:val="fr-CA"/>
        </w:rPr>
      </w:pPr>
    </w:p>
    <w:p w14:paraId="7099F557" w14:textId="77777777" w:rsidR="00551183" w:rsidRPr="00A266EB" w:rsidRDefault="00B8041C" w:rsidP="00551183">
      <w:pPr>
        <w:pStyle w:val="BodyText"/>
        <w:rPr>
          <w:lang w:val="fr-CA"/>
        </w:rPr>
      </w:pPr>
      <w:r w:rsidRPr="00A266EB">
        <w:rPr>
          <w:lang w:val="fr-CA"/>
        </w:rPr>
        <w:t>L’</w:t>
      </w:r>
      <w:r w:rsidR="002B5962" w:rsidRPr="00A266EB">
        <w:rPr>
          <w:lang w:val="fr-CA"/>
        </w:rPr>
        <w:t xml:space="preserve">appelant </w:t>
      </w:r>
      <w:r w:rsidRPr="00A266EB">
        <w:rPr>
          <w:lang w:val="fr-CA"/>
        </w:rPr>
        <w:t>devrait communiquer avec la SEFM s’il est incapable d’accéder au système en ligne « </w:t>
      </w:r>
      <w:r w:rsidR="002B5962" w:rsidRPr="00A266EB">
        <w:rPr>
          <w:lang w:val="fr-CA"/>
        </w:rPr>
        <w:t xml:space="preserve">About </w:t>
      </w:r>
      <w:proofErr w:type="spellStart"/>
      <w:r w:rsidR="002B5962" w:rsidRPr="00A266EB">
        <w:rPr>
          <w:lang w:val="fr-CA"/>
        </w:rPr>
        <w:t>My</w:t>
      </w:r>
      <w:proofErr w:type="spellEnd"/>
      <w:r w:rsidR="002B5962" w:rsidRPr="00A266EB">
        <w:rPr>
          <w:lang w:val="fr-CA"/>
        </w:rPr>
        <w:t xml:space="preserve"> </w:t>
      </w:r>
      <w:proofErr w:type="spellStart"/>
      <w:r w:rsidR="002B5962" w:rsidRPr="00A266EB">
        <w:rPr>
          <w:lang w:val="fr-CA"/>
        </w:rPr>
        <w:t>Property</w:t>
      </w:r>
      <w:proofErr w:type="spellEnd"/>
      <w:r w:rsidRPr="00A266EB">
        <w:rPr>
          <w:lang w:val="fr-CA"/>
        </w:rPr>
        <w:t> » ou s’il ne peut y trouver de renseignements à propos de la propriété faisant l’objet de l’appel.</w:t>
      </w:r>
    </w:p>
    <w:p w14:paraId="2B5DB4EE" w14:textId="77777777" w:rsidR="00551183" w:rsidRPr="00A266EB" w:rsidRDefault="00551183" w:rsidP="00551183">
      <w:pPr>
        <w:pStyle w:val="BodyText"/>
        <w:rPr>
          <w:lang w:val="fr-CA"/>
        </w:rPr>
      </w:pPr>
    </w:p>
    <w:p w14:paraId="2DEC94AC" w14:textId="7B316CCA" w:rsidR="00DB2E0B" w:rsidRPr="00A266EB" w:rsidRDefault="00551183" w:rsidP="006949EE">
      <w:pPr>
        <w:pStyle w:val="Title"/>
        <w:spacing w:after="160"/>
        <w:jc w:val="left"/>
        <w:rPr>
          <w:lang w:val="fr-CA"/>
        </w:rPr>
      </w:pPr>
      <w:r>
        <w:t>M</w:t>
      </w:r>
      <w:r w:rsidRPr="00C82DE5">
        <w:t>oment</w:t>
      </w:r>
      <w:r>
        <w:t>s</w:t>
      </w:r>
      <w:r w:rsidRPr="00C82DE5">
        <w:t xml:space="preserve"> </w:t>
      </w:r>
      <w:r w:rsidR="006949EE">
        <w:t>d</w:t>
      </w:r>
      <w:r w:rsidRPr="00C82DE5">
        <w:t xml:space="preserve">e </w:t>
      </w:r>
      <w:r w:rsidR="006949EE">
        <w:t>l</w:t>
      </w:r>
      <w:r w:rsidRPr="00C82DE5">
        <w:t xml:space="preserve">a </w:t>
      </w:r>
      <w:r w:rsidR="006949EE">
        <w:t>d</w:t>
      </w:r>
      <w:r w:rsidRPr="00C82DE5">
        <w:t>ivulgation</w:t>
      </w:r>
    </w:p>
    <w:p w14:paraId="702C6E1E" w14:textId="245D64B1" w:rsidR="002A2387" w:rsidRPr="00A266EB" w:rsidRDefault="00B8041C" w:rsidP="002A2387">
      <w:pPr>
        <w:pStyle w:val="BodyText"/>
        <w:rPr>
          <w:lang w:val="fr-CA"/>
        </w:rPr>
      </w:pPr>
      <w:r w:rsidRPr="00A266EB">
        <w:rPr>
          <w:lang w:val="fr-CA"/>
        </w:rPr>
        <w:t xml:space="preserve">Le moment de la </w:t>
      </w:r>
      <w:r w:rsidR="003D474D" w:rsidRPr="00A266EB">
        <w:rPr>
          <w:lang w:val="fr-CA"/>
        </w:rPr>
        <w:t>divulgation</w:t>
      </w:r>
      <w:r w:rsidR="002B5962" w:rsidRPr="00A266EB">
        <w:rPr>
          <w:lang w:val="fr-CA"/>
        </w:rPr>
        <w:t xml:space="preserve"> </w:t>
      </w:r>
      <w:r w:rsidRPr="00A266EB">
        <w:rPr>
          <w:lang w:val="fr-CA"/>
        </w:rPr>
        <w:t xml:space="preserve">initiale que doit faire la SEFM </w:t>
      </w:r>
      <w:r w:rsidR="005E34FD" w:rsidRPr="00A266EB">
        <w:rPr>
          <w:lang w:val="fr-CA"/>
        </w:rPr>
        <w:t>est commenté</w:t>
      </w:r>
      <w:r w:rsidRPr="00A266EB">
        <w:rPr>
          <w:lang w:val="fr-CA"/>
        </w:rPr>
        <w:t xml:space="preserve"> plus haut. La présente section porte sur le moment </w:t>
      </w:r>
      <w:r w:rsidR="005E34FD" w:rsidRPr="00A266EB">
        <w:rPr>
          <w:lang w:val="fr-CA"/>
        </w:rPr>
        <w:t>de l’échange des autres documents à divulguer.</w:t>
      </w:r>
    </w:p>
    <w:p w14:paraId="122F653D" w14:textId="3F8BC5B4" w:rsidR="002B5962" w:rsidRPr="00A266EB" w:rsidRDefault="005E34FD" w:rsidP="002A2387">
      <w:pPr>
        <w:pStyle w:val="BodyText"/>
        <w:rPr>
          <w:lang w:val="fr-CA"/>
        </w:rPr>
      </w:pPr>
      <w:r w:rsidRPr="00A266EB">
        <w:rPr>
          <w:lang w:val="fr-CA"/>
        </w:rPr>
        <w:t xml:space="preserve"> </w:t>
      </w:r>
    </w:p>
    <w:p w14:paraId="52048D05" w14:textId="34C67D72" w:rsidR="002B5962" w:rsidRPr="00A266EB" w:rsidRDefault="005E34FD" w:rsidP="002A2387">
      <w:pPr>
        <w:pStyle w:val="BodyText"/>
        <w:rPr>
          <w:lang w:val="fr-CA"/>
        </w:rPr>
      </w:pPr>
      <w:r w:rsidRPr="00A266EB">
        <w:rPr>
          <w:lang w:val="fr-CA"/>
        </w:rPr>
        <w:t xml:space="preserve">Les moments de la </w:t>
      </w:r>
      <w:r w:rsidR="003D474D" w:rsidRPr="00A266EB">
        <w:rPr>
          <w:lang w:val="fr-CA"/>
        </w:rPr>
        <w:t>divulgation</w:t>
      </w:r>
      <w:r w:rsidR="002B5962" w:rsidRPr="00A266EB">
        <w:rPr>
          <w:lang w:val="fr-CA"/>
        </w:rPr>
        <w:t xml:space="preserve"> </w:t>
      </w:r>
      <w:r w:rsidRPr="00A266EB">
        <w:rPr>
          <w:lang w:val="fr-CA"/>
        </w:rPr>
        <w:t xml:space="preserve">et l’ordre dans lequel les parties divulguent leurs documents représentent un défi pour les tribunaux tant judiciaires qu’administratifs. Différentes démarches sont utilisées. Par exemple, la Cour de justice de l’Ontario exige </w:t>
      </w:r>
      <w:r w:rsidRPr="00A266EB">
        <w:rPr>
          <w:lang w:val="fr-CA"/>
        </w:rPr>
        <w:lastRenderedPageBreak/>
        <w:t>que les parties se rencontrent pour élaborer un « plan d’enquête préalable » qui précise, notamment, les moments de l’échange des documents à divulguer.</w:t>
      </w:r>
    </w:p>
    <w:p w14:paraId="3DC73F3A" w14:textId="77777777" w:rsidR="002A2387" w:rsidRPr="00A266EB" w:rsidRDefault="002A2387" w:rsidP="002A2387">
      <w:pPr>
        <w:pStyle w:val="BodyText"/>
        <w:rPr>
          <w:lang w:val="fr-CA"/>
        </w:rPr>
      </w:pPr>
    </w:p>
    <w:p w14:paraId="4121AD6E" w14:textId="77777777" w:rsidR="002A2387" w:rsidRPr="00A266EB" w:rsidRDefault="005E34FD" w:rsidP="002A2387">
      <w:pPr>
        <w:pStyle w:val="BodyText"/>
        <w:rPr>
          <w:lang w:val="fr-CA"/>
        </w:rPr>
      </w:pPr>
      <w:r w:rsidRPr="00A266EB">
        <w:rPr>
          <w:lang w:val="fr-CA"/>
        </w:rPr>
        <w:t>En collaboration avec ses int</w:t>
      </w:r>
      <w:r w:rsidR="00F87F99" w:rsidRPr="00A266EB">
        <w:rPr>
          <w:lang w:val="fr-CA"/>
        </w:rPr>
        <w:t>ervenants, l</w:t>
      </w:r>
      <w:r w:rsidRPr="00A266EB">
        <w:rPr>
          <w:lang w:val="fr-CA"/>
        </w:rPr>
        <w:t>a</w:t>
      </w:r>
      <w:r w:rsidR="002B5962" w:rsidRPr="00A266EB">
        <w:rPr>
          <w:lang w:val="fr-CA"/>
        </w:rPr>
        <w:t xml:space="preserve"> </w:t>
      </w:r>
      <w:r w:rsidR="00173E53" w:rsidRPr="00A266EB">
        <w:rPr>
          <w:lang w:val="fr-CA"/>
        </w:rPr>
        <w:t>Commission</w:t>
      </w:r>
      <w:r w:rsidR="00F87F99" w:rsidRPr="00A266EB">
        <w:rPr>
          <w:lang w:val="fr-CA"/>
        </w:rPr>
        <w:t xml:space="preserve"> a structuré les moments et l’ordre de la </w:t>
      </w:r>
      <w:r w:rsidR="003D474D" w:rsidRPr="00A266EB">
        <w:rPr>
          <w:lang w:val="fr-CA"/>
        </w:rPr>
        <w:t>divulgation</w:t>
      </w:r>
      <w:r w:rsidR="002B5962" w:rsidRPr="00A266EB">
        <w:rPr>
          <w:lang w:val="fr-CA"/>
        </w:rPr>
        <w:t xml:space="preserve"> </w:t>
      </w:r>
      <w:r w:rsidR="00F87F99" w:rsidRPr="00A266EB">
        <w:rPr>
          <w:lang w:val="fr-CA"/>
        </w:rPr>
        <w:t>pour les harmoniser avec l’échange des exposés de questions en litige, de réponse et de réplique. Tel qu’il est mentionné plus haut, cette approche s’explique principalement par le fait que les questions en litige doivent d’abord être cernées avant que les parties puissent déterminer si un document est pertinent et s’il est</w:t>
      </w:r>
      <w:r w:rsidR="00553887" w:rsidRPr="00A266EB">
        <w:rPr>
          <w:lang w:val="fr-CA"/>
        </w:rPr>
        <w:t>,</w:t>
      </w:r>
      <w:r w:rsidR="00F87F99" w:rsidRPr="00A266EB">
        <w:rPr>
          <w:lang w:val="fr-CA"/>
        </w:rPr>
        <w:t xml:space="preserve"> de ce fait, visé par l’obligation de divulgation.</w:t>
      </w:r>
    </w:p>
    <w:p w14:paraId="6B5DE756" w14:textId="1FD1727B" w:rsidR="002B5962" w:rsidRPr="00A266EB" w:rsidRDefault="00F87F99" w:rsidP="002A2387">
      <w:pPr>
        <w:pStyle w:val="BodyText"/>
        <w:rPr>
          <w:lang w:val="fr-CA"/>
        </w:rPr>
      </w:pPr>
      <w:r w:rsidRPr="00A266EB">
        <w:rPr>
          <w:lang w:val="fr-CA"/>
        </w:rPr>
        <w:t xml:space="preserve"> </w:t>
      </w:r>
    </w:p>
    <w:p w14:paraId="404F6D45" w14:textId="4EE7A784" w:rsidR="002B5962" w:rsidRPr="00A266EB" w:rsidRDefault="00F87F99" w:rsidP="002A2387">
      <w:pPr>
        <w:pStyle w:val="BodyText"/>
        <w:rPr>
          <w:lang w:val="fr-CA"/>
        </w:rPr>
      </w:pPr>
      <w:r w:rsidRPr="00A266EB">
        <w:rPr>
          <w:lang w:val="fr-CA"/>
        </w:rPr>
        <w:t xml:space="preserve">Le </w:t>
      </w:r>
      <w:r w:rsidR="004F4CB6" w:rsidRPr="00A266EB">
        <w:rPr>
          <w:lang w:val="fr-CA"/>
        </w:rPr>
        <w:t>calendrier des procédures</w:t>
      </w:r>
      <w:r w:rsidRPr="00A266EB">
        <w:rPr>
          <w:lang w:val="fr-CA"/>
        </w:rPr>
        <w:t xml:space="preserve"> précise les dates d’échéance de l’échange des documents </w:t>
      </w:r>
      <w:r w:rsidR="00553887" w:rsidRPr="00A266EB">
        <w:rPr>
          <w:lang w:val="fr-CA"/>
        </w:rPr>
        <w:t>à</w:t>
      </w:r>
      <w:r w:rsidRPr="00A266EB">
        <w:rPr>
          <w:lang w:val="fr-CA"/>
        </w:rPr>
        <w:t xml:space="preserve"> d</w:t>
      </w:r>
      <w:r w:rsidR="003D474D" w:rsidRPr="00A266EB">
        <w:rPr>
          <w:lang w:val="fr-CA"/>
        </w:rPr>
        <w:t>ivulg</w:t>
      </w:r>
      <w:r w:rsidR="00553887" w:rsidRPr="00A266EB">
        <w:rPr>
          <w:lang w:val="fr-CA"/>
        </w:rPr>
        <w:t>uer</w:t>
      </w:r>
      <w:r w:rsidR="002B5962" w:rsidRPr="00A266EB">
        <w:rPr>
          <w:lang w:val="fr-CA"/>
        </w:rPr>
        <w:t>.</w:t>
      </w:r>
    </w:p>
    <w:p w14:paraId="281260A6" w14:textId="77777777" w:rsidR="002A2387" w:rsidRPr="00A266EB" w:rsidRDefault="002A2387" w:rsidP="002A2387">
      <w:pPr>
        <w:pStyle w:val="BodyText"/>
        <w:rPr>
          <w:lang w:val="fr-CA"/>
        </w:rPr>
      </w:pPr>
    </w:p>
    <w:p w14:paraId="383D5449" w14:textId="77777777" w:rsidR="002A2387" w:rsidRPr="00A266EB" w:rsidRDefault="00F87F99" w:rsidP="002A2387">
      <w:pPr>
        <w:pStyle w:val="BodyText"/>
        <w:rPr>
          <w:lang w:val="fr-CA"/>
        </w:rPr>
      </w:pPr>
      <w:r w:rsidRPr="00A266EB">
        <w:rPr>
          <w:lang w:val="fr-CA"/>
        </w:rPr>
        <w:t>Tel qu’il est mentionné dans la Ligne directrice en matière de d</w:t>
      </w:r>
      <w:r w:rsidR="003D474D" w:rsidRPr="00A266EB">
        <w:rPr>
          <w:lang w:val="fr-CA"/>
        </w:rPr>
        <w:t>ivulgation</w:t>
      </w:r>
      <w:r w:rsidRPr="00A266EB">
        <w:rPr>
          <w:lang w:val="fr-CA"/>
        </w:rPr>
        <w:t xml:space="preserve">, l’obligation de fournir les documents </w:t>
      </w:r>
      <w:r w:rsidR="00FA4875" w:rsidRPr="00A266EB">
        <w:rPr>
          <w:lang w:val="fr-CA"/>
        </w:rPr>
        <w:t>à divulguer demeure en vigueur pendant toute la durée d</w:t>
      </w:r>
      <w:r w:rsidR="00553887" w:rsidRPr="00A266EB">
        <w:rPr>
          <w:lang w:val="fr-CA"/>
        </w:rPr>
        <w:t xml:space="preserve">e la procédure </w:t>
      </w:r>
      <w:r w:rsidR="00FA4875" w:rsidRPr="00A266EB">
        <w:rPr>
          <w:lang w:val="fr-CA"/>
        </w:rPr>
        <w:t xml:space="preserve">d’appel. Cela signifie que, si une partie détermine </w:t>
      </w:r>
      <w:r w:rsidR="00553887" w:rsidRPr="00A266EB">
        <w:rPr>
          <w:lang w:val="fr-CA"/>
        </w:rPr>
        <w:t xml:space="preserve">l’existence d’autres </w:t>
      </w:r>
      <w:r w:rsidR="00FA4875" w:rsidRPr="00A266EB">
        <w:rPr>
          <w:lang w:val="fr-CA"/>
        </w:rPr>
        <w:t xml:space="preserve">documents pertinents après les dates d’échéance applicables à la </w:t>
      </w:r>
      <w:r w:rsidR="003D474D" w:rsidRPr="00A266EB">
        <w:rPr>
          <w:lang w:val="fr-CA"/>
        </w:rPr>
        <w:t>divulgation</w:t>
      </w:r>
      <w:r w:rsidR="00FA4875" w:rsidRPr="00A266EB">
        <w:rPr>
          <w:lang w:val="fr-CA"/>
        </w:rPr>
        <w:t xml:space="preserve">, ces documents </w:t>
      </w:r>
      <w:r w:rsidR="00553887" w:rsidRPr="00A266EB">
        <w:rPr>
          <w:lang w:val="fr-CA"/>
        </w:rPr>
        <w:t xml:space="preserve">supplémentaires </w:t>
      </w:r>
      <w:r w:rsidR="00FA4875" w:rsidRPr="00A266EB">
        <w:rPr>
          <w:lang w:val="fr-CA"/>
        </w:rPr>
        <w:t xml:space="preserve">devront être </w:t>
      </w:r>
      <w:r w:rsidR="00553887" w:rsidRPr="00A266EB">
        <w:rPr>
          <w:lang w:val="fr-CA"/>
        </w:rPr>
        <w:t>divulgués</w:t>
      </w:r>
      <w:r w:rsidR="00FA4875" w:rsidRPr="00A266EB">
        <w:rPr>
          <w:lang w:val="fr-CA"/>
        </w:rPr>
        <w:t>.</w:t>
      </w:r>
    </w:p>
    <w:p w14:paraId="421FCEED" w14:textId="64129725" w:rsidR="002B5962" w:rsidRPr="00A266EB" w:rsidRDefault="00FA4875" w:rsidP="002A2387">
      <w:pPr>
        <w:pStyle w:val="BodyText"/>
        <w:rPr>
          <w:lang w:val="fr-CA"/>
        </w:rPr>
      </w:pPr>
      <w:r w:rsidRPr="00A266EB">
        <w:rPr>
          <w:lang w:val="fr-CA"/>
        </w:rPr>
        <w:t xml:space="preserve"> </w:t>
      </w:r>
    </w:p>
    <w:p w14:paraId="17899E37" w14:textId="77777777" w:rsidR="002A2387" w:rsidRPr="00A266EB" w:rsidRDefault="00FA4875" w:rsidP="002A2387">
      <w:pPr>
        <w:pStyle w:val="BodyText"/>
        <w:rPr>
          <w:lang w:val="fr-CA"/>
        </w:rPr>
      </w:pPr>
      <w:r w:rsidRPr="00A266EB">
        <w:rPr>
          <w:lang w:val="fr-CA"/>
        </w:rPr>
        <w:t xml:space="preserve">Si les parties décident d’obtenir des rapports d’expert supplémentaires et qu’un rapport d’expert comporte de nouveaux éléments de preuve ou soulève des questions d’évaluation qui ne figurent pas dans l’exposé des questions en litige, de réponse ou de réplique, chacune des parties devra divulguer les </w:t>
      </w:r>
      <w:r w:rsidR="00AD0CB6" w:rsidRPr="00A266EB">
        <w:rPr>
          <w:lang w:val="fr-CA"/>
        </w:rPr>
        <w:t xml:space="preserve">documents supplémentaires </w:t>
      </w:r>
      <w:r w:rsidR="00A40B38" w:rsidRPr="00A266EB">
        <w:rPr>
          <w:lang w:val="fr-CA"/>
        </w:rPr>
        <w:t xml:space="preserve">qui sont pertinents au regard de </w:t>
      </w:r>
      <w:r w:rsidRPr="00A266EB">
        <w:rPr>
          <w:lang w:val="fr-CA"/>
        </w:rPr>
        <w:t xml:space="preserve">ces nouveaux </w:t>
      </w:r>
      <w:r w:rsidR="00AD0CB6" w:rsidRPr="00A266EB">
        <w:rPr>
          <w:lang w:val="fr-CA"/>
        </w:rPr>
        <w:t xml:space="preserve">éléments de preuve </w:t>
      </w:r>
      <w:r w:rsidR="00A40B38" w:rsidRPr="00A266EB">
        <w:rPr>
          <w:lang w:val="fr-CA"/>
        </w:rPr>
        <w:t>ou de</w:t>
      </w:r>
      <w:r w:rsidRPr="00A266EB">
        <w:rPr>
          <w:lang w:val="fr-CA"/>
        </w:rPr>
        <w:t xml:space="preserve"> ces nouvelles question</w:t>
      </w:r>
      <w:r w:rsidR="00AD0CB6" w:rsidRPr="00A266EB">
        <w:rPr>
          <w:lang w:val="fr-CA"/>
        </w:rPr>
        <w:t>s</w:t>
      </w:r>
      <w:r w:rsidRPr="00A266EB">
        <w:rPr>
          <w:lang w:val="fr-CA"/>
        </w:rPr>
        <w:t xml:space="preserve"> d’évaluation.</w:t>
      </w:r>
    </w:p>
    <w:p w14:paraId="59523249" w14:textId="23D7594D" w:rsidR="002B5962" w:rsidRPr="00A266EB" w:rsidRDefault="00FA4875" w:rsidP="002A2387">
      <w:pPr>
        <w:pStyle w:val="BodyText"/>
        <w:rPr>
          <w:lang w:val="fr-CA"/>
        </w:rPr>
      </w:pPr>
      <w:r w:rsidRPr="00A266EB">
        <w:rPr>
          <w:lang w:val="fr-CA"/>
        </w:rPr>
        <w:t xml:space="preserve"> </w:t>
      </w:r>
    </w:p>
    <w:p w14:paraId="05F36101" w14:textId="77777777" w:rsidR="002A2387" w:rsidRPr="00A266EB" w:rsidRDefault="002D094B" w:rsidP="002A2387">
      <w:pPr>
        <w:pStyle w:val="BodyText"/>
        <w:rPr>
          <w:lang w:val="fr-CA"/>
        </w:rPr>
      </w:pPr>
      <w:r w:rsidRPr="00A266EB">
        <w:rPr>
          <w:lang w:val="fr-CA"/>
        </w:rPr>
        <w:t xml:space="preserve">La partie qui reçoit une </w:t>
      </w:r>
      <w:r w:rsidR="00717EB2" w:rsidRPr="00A266EB">
        <w:rPr>
          <w:lang w:val="fr-CA"/>
        </w:rPr>
        <w:t xml:space="preserve">demande </w:t>
      </w:r>
      <w:r w:rsidRPr="00A266EB">
        <w:rPr>
          <w:lang w:val="fr-CA"/>
        </w:rPr>
        <w:t xml:space="preserve">de </w:t>
      </w:r>
      <w:r w:rsidR="003D474D" w:rsidRPr="00A266EB">
        <w:rPr>
          <w:lang w:val="fr-CA"/>
        </w:rPr>
        <w:t>divulgation</w:t>
      </w:r>
      <w:r w:rsidRPr="00A266EB">
        <w:rPr>
          <w:lang w:val="fr-CA"/>
        </w:rPr>
        <w:t xml:space="preserve"> devrait répondre rapidement afin de confirmer qu’elle </w:t>
      </w:r>
      <w:r w:rsidR="00553887" w:rsidRPr="00A266EB">
        <w:rPr>
          <w:lang w:val="fr-CA"/>
        </w:rPr>
        <w:t>consent</w:t>
      </w:r>
      <w:r w:rsidRPr="00A266EB">
        <w:rPr>
          <w:lang w:val="fr-CA"/>
        </w:rPr>
        <w:t xml:space="preserve"> ou refuse </w:t>
      </w:r>
      <w:r w:rsidR="00553887" w:rsidRPr="00A266EB">
        <w:rPr>
          <w:lang w:val="fr-CA"/>
        </w:rPr>
        <w:t xml:space="preserve">de consentir à </w:t>
      </w:r>
      <w:r w:rsidRPr="00A266EB">
        <w:rPr>
          <w:lang w:val="fr-CA"/>
        </w:rPr>
        <w:t>la demande. Les différends concernant la divulgation devraient être cernés dès que possible afin que toute motion en divulgation puisse être tranchée en temps opportun, le cas échéant. Bien que la Commission n’ait pas indiqué de délai</w:t>
      </w:r>
      <w:r w:rsidR="00553887" w:rsidRPr="00A266EB">
        <w:rPr>
          <w:lang w:val="fr-CA"/>
        </w:rPr>
        <w:t>s</w:t>
      </w:r>
      <w:r w:rsidRPr="00A266EB">
        <w:rPr>
          <w:lang w:val="fr-CA"/>
        </w:rPr>
        <w:t xml:space="preserve"> précis concernant la réponse à une demande de divulgation, les parties sont censées y répondre dans un délai d’une à deux semaines suivant la réc</w:t>
      </w:r>
      <w:r w:rsidR="00A40B38" w:rsidRPr="00A266EB">
        <w:rPr>
          <w:lang w:val="fr-CA"/>
        </w:rPr>
        <w:t>eption de la demande. La</w:t>
      </w:r>
      <w:r w:rsidRPr="00A266EB">
        <w:rPr>
          <w:lang w:val="fr-CA"/>
        </w:rPr>
        <w:t xml:space="preserve"> partie </w:t>
      </w:r>
      <w:r w:rsidR="00A40B38" w:rsidRPr="00A266EB">
        <w:rPr>
          <w:lang w:val="fr-CA"/>
        </w:rPr>
        <w:t xml:space="preserve">qui </w:t>
      </w:r>
      <w:r w:rsidRPr="00A266EB">
        <w:rPr>
          <w:lang w:val="fr-CA"/>
        </w:rPr>
        <w:t xml:space="preserve">consent à une </w:t>
      </w:r>
      <w:r w:rsidR="00717EB2" w:rsidRPr="00A266EB">
        <w:rPr>
          <w:lang w:val="fr-CA"/>
        </w:rPr>
        <w:t xml:space="preserve">demande </w:t>
      </w:r>
      <w:r w:rsidRPr="00A266EB">
        <w:rPr>
          <w:lang w:val="fr-CA"/>
        </w:rPr>
        <w:t xml:space="preserve">de </w:t>
      </w:r>
      <w:r w:rsidR="00717EB2" w:rsidRPr="00A266EB">
        <w:rPr>
          <w:lang w:val="fr-CA"/>
        </w:rPr>
        <w:t>divulgation</w:t>
      </w:r>
      <w:r w:rsidRPr="00A266EB">
        <w:rPr>
          <w:lang w:val="fr-CA"/>
        </w:rPr>
        <w:t xml:space="preserve"> devrait </w:t>
      </w:r>
      <w:r w:rsidR="00717EB2" w:rsidRPr="00A266EB">
        <w:rPr>
          <w:lang w:val="fr-CA"/>
        </w:rPr>
        <w:t>é</w:t>
      </w:r>
      <w:r w:rsidRPr="00A266EB">
        <w:rPr>
          <w:lang w:val="fr-CA"/>
        </w:rPr>
        <w:t xml:space="preserve">galement préciser </w:t>
      </w:r>
      <w:r w:rsidR="00717EB2" w:rsidRPr="00A266EB">
        <w:rPr>
          <w:lang w:val="fr-CA"/>
        </w:rPr>
        <w:t>le moment où elle pourra fournir les documents à divulguer.</w:t>
      </w:r>
    </w:p>
    <w:p w14:paraId="139CDAD4" w14:textId="15876326" w:rsidR="002B5962" w:rsidRPr="00A266EB" w:rsidRDefault="00717EB2" w:rsidP="002A2387">
      <w:pPr>
        <w:pStyle w:val="BodyText"/>
        <w:rPr>
          <w:lang w:val="fr-CA"/>
        </w:rPr>
      </w:pPr>
      <w:r w:rsidRPr="00A266EB">
        <w:rPr>
          <w:lang w:val="fr-CA"/>
        </w:rPr>
        <w:t xml:space="preserve"> </w:t>
      </w:r>
    </w:p>
    <w:p w14:paraId="3C1F84DC" w14:textId="78F33CB5" w:rsidR="002A2387" w:rsidRPr="006949EE" w:rsidRDefault="002A2387" w:rsidP="006949EE">
      <w:pPr>
        <w:pStyle w:val="Title"/>
        <w:spacing w:after="160"/>
        <w:jc w:val="left"/>
        <w:rPr>
          <w:lang w:val="fr-CA"/>
        </w:rPr>
      </w:pPr>
      <w:r w:rsidRPr="006949EE">
        <w:rPr>
          <w:lang w:val="fr-CA"/>
        </w:rPr>
        <w:t xml:space="preserve">Éviter </w:t>
      </w:r>
      <w:r w:rsidR="006949EE" w:rsidRPr="006949EE">
        <w:rPr>
          <w:lang w:val="fr-CA"/>
        </w:rPr>
        <w:t>l</w:t>
      </w:r>
      <w:r w:rsidRPr="006949EE">
        <w:rPr>
          <w:lang w:val="fr-CA"/>
        </w:rPr>
        <w:t xml:space="preserve">es </w:t>
      </w:r>
      <w:r w:rsidR="006949EE" w:rsidRPr="006949EE">
        <w:rPr>
          <w:lang w:val="fr-CA"/>
        </w:rPr>
        <w:t>d</w:t>
      </w:r>
      <w:r w:rsidRPr="006949EE">
        <w:rPr>
          <w:lang w:val="fr-CA"/>
        </w:rPr>
        <w:t xml:space="preserve">ifférends </w:t>
      </w:r>
      <w:r w:rsidR="006949EE" w:rsidRPr="006949EE">
        <w:rPr>
          <w:lang w:val="fr-CA"/>
        </w:rPr>
        <w:t>e</w:t>
      </w:r>
      <w:r w:rsidRPr="006949EE">
        <w:rPr>
          <w:lang w:val="fr-CA"/>
        </w:rPr>
        <w:t xml:space="preserve">n </w:t>
      </w:r>
      <w:r w:rsidR="006949EE" w:rsidRPr="006949EE">
        <w:rPr>
          <w:lang w:val="fr-CA"/>
        </w:rPr>
        <w:t>m</w:t>
      </w:r>
      <w:r w:rsidRPr="006949EE">
        <w:rPr>
          <w:lang w:val="fr-CA"/>
        </w:rPr>
        <w:t xml:space="preserve">atière </w:t>
      </w:r>
      <w:r w:rsidR="006949EE" w:rsidRPr="006949EE">
        <w:rPr>
          <w:lang w:val="fr-CA"/>
        </w:rPr>
        <w:t>d</w:t>
      </w:r>
      <w:r w:rsidRPr="006949EE">
        <w:rPr>
          <w:lang w:val="fr-CA"/>
        </w:rPr>
        <w:t>e</w:t>
      </w:r>
      <w:r w:rsidR="006949EE" w:rsidRPr="006949EE">
        <w:rPr>
          <w:lang w:val="fr-CA"/>
        </w:rPr>
        <w:t xml:space="preserve"> d</w:t>
      </w:r>
      <w:r w:rsidRPr="006949EE">
        <w:rPr>
          <w:lang w:val="fr-CA"/>
        </w:rPr>
        <w:t>ivulgation</w:t>
      </w:r>
    </w:p>
    <w:p w14:paraId="3D103B20" w14:textId="77777777" w:rsidR="002A2387" w:rsidRPr="00A266EB" w:rsidRDefault="00717EB2" w:rsidP="002A2387">
      <w:pPr>
        <w:pStyle w:val="BodyText"/>
        <w:rPr>
          <w:lang w:val="fr-CA"/>
        </w:rPr>
      </w:pPr>
      <w:r w:rsidRPr="00A266EB">
        <w:rPr>
          <w:lang w:val="fr-CA"/>
        </w:rPr>
        <w:t>La</w:t>
      </w:r>
      <w:r w:rsidR="002B5962" w:rsidRPr="00A266EB">
        <w:rPr>
          <w:lang w:val="fr-CA"/>
        </w:rPr>
        <w:t xml:space="preserve"> </w:t>
      </w:r>
      <w:r w:rsidR="00173E53" w:rsidRPr="00A266EB">
        <w:rPr>
          <w:lang w:val="fr-CA"/>
        </w:rPr>
        <w:t>Commission</w:t>
      </w:r>
      <w:r w:rsidR="002B5962" w:rsidRPr="00A266EB">
        <w:rPr>
          <w:lang w:val="fr-CA"/>
        </w:rPr>
        <w:t xml:space="preserve"> </w:t>
      </w:r>
      <w:r w:rsidRPr="00A266EB">
        <w:rPr>
          <w:lang w:val="fr-CA"/>
        </w:rPr>
        <w:t xml:space="preserve">tranche les différends en matière de </w:t>
      </w:r>
      <w:r w:rsidR="003D474D" w:rsidRPr="00A266EB">
        <w:rPr>
          <w:lang w:val="fr-CA"/>
        </w:rPr>
        <w:t>divulgation</w:t>
      </w:r>
      <w:r w:rsidR="002B5962" w:rsidRPr="00A266EB">
        <w:rPr>
          <w:lang w:val="fr-CA"/>
        </w:rPr>
        <w:t xml:space="preserve"> </w:t>
      </w:r>
      <w:r w:rsidRPr="00A266EB">
        <w:rPr>
          <w:lang w:val="fr-CA"/>
        </w:rPr>
        <w:t>au moyen d’une motion présentée par écrit. Ces motions sont souvent coûteuses</w:t>
      </w:r>
      <w:r w:rsidR="00A40B38" w:rsidRPr="00A266EB">
        <w:rPr>
          <w:lang w:val="fr-CA"/>
        </w:rPr>
        <w:t>, en plus d’exiger considérablement de temps,</w:t>
      </w:r>
      <w:r w:rsidRPr="00A266EB">
        <w:rPr>
          <w:lang w:val="fr-CA"/>
        </w:rPr>
        <w:t xml:space="preserve"> pour toutes les parties concernées. L’objectif est donc de </w:t>
      </w:r>
      <w:r w:rsidRPr="00A266EB">
        <w:rPr>
          <w:lang w:val="fr-CA"/>
        </w:rPr>
        <w:lastRenderedPageBreak/>
        <w:t>tenter d’éviter ces différends. La</w:t>
      </w:r>
      <w:r w:rsidR="002B5962" w:rsidRPr="00A266EB">
        <w:rPr>
          <w:lang w:val="fr-CA"/>
        </w:rPr>
        <w:t xml:space="preserve"> </w:t>
      </w:r>
      <w:r w:rsidR="00173E53" w:rsidRPr="00A266EB">
        <w:rPr>
          <w:lang w:val="fr-CA"/>
        </w:rPr>
        <w:t>Commission</w:t>
      </w:r>
      <w:r w:rsidR="002B5962" w:rsidRPr="00A266EB">
        <w:rPr>
          <w:lang w:val="fr-CA"/>
        </w:rPr>
        <w:t xml:space="preserve"> </w:t>
      </w:r>
      <w:r w:rsidRPr="00A266EB">
        <w:rPr>
          <w:lang w:val="fr-CA"/>
        </w:rPr>
        <w:t>exige que les parties discutent d’abord entre elles de ces différends afin de tenter de les résoudre. À cet égard, les parties devraient examiner les éléments de réflexion suivants</w:t>
      </w:r>
      <w:r w:rsidR="007307A7" w:rsidRPr="00A266EB">
        <w:rPr>
          <w:lang w:val="fr-CA"/>
        </w:rPr>
        <w:t xml:space="preserve"> avant de présenter une motion.</w:t>
      </w:r>
    </w:p>
    <w:p w14:paraId="120A20CE" w14:textId="2038C5FD" w:rsidR="002B5962" w:rsidRPr="00A266EB" w:rsidRDefault="007307A7" w:rsidP="002A2387">
      <w:pPr>
        <w:pStyle w:val="BodyText"/>
        <w:rPr>
          <w:lang w:val="fr-CA"/>
        </w:rPr>
      </w:pPr>
      <w:r w:rsidRPr="00A266EB">
        <w:rPr>
          <w:lang w:val="fr-CA"/>
        </w:rPr>
        <w:t xml:space="preserve"> </w:t>
      </w:r>
    </w:p>
    <w:p w14:paraId="109D37ED" w14:textId="01E7B4CF" w:rsidR="002A2387" w:rsidRPr="00A266EB" w:rsidRDefault="007307A7" w:rsidP="006949EE">
      <w:pPr>
        <w:pStyle w:val="Title"/>
        <w:spacing w:after="160"/>
        <w:jc w:val="left"/>
      </w:pPr>
      <w:r w:rsidRPr="00C82DE5">
        <w:t xml:space="preserve">La production d’un </w:t>
      </w:r>
      <w:r w:rsidR="00E01B3A">
        <w:t xml:space="preserve">document </w:t>
      </w:r>
      <w:r w:rsidRPr="00C82DE5">
        <w:t>ne constitue pas un aveu de sa pertinence ou de son admissibilité</w:t>
      </w:r>
    </w:p>
    <w:p w14:paraId="0499FDDC" w14:textId="19CE0B89" w:rsidR="002B5962" w:rsidRPr="00A266EB" w:rsidRDefault="007307A7" w:rsidP="002A2387">
      <w:pPr>
        <w:pStyle w:val="BodyText"/>
        <w:rPr>
          <w:lang w:val="fr-CA"/>
        </w:rPr>
      </w:pPr>
      <w:r w:rsidRPr="00A266EB">
        <w:rPr>
          <w:lang w:val="fr-CA"/>
        </w:rPr>
        <w:t xml:space="preserve">La </w:t>
      </w:r>
      <w:r w:rsidR="00553887" w:rsidRPr="00A266EB">
        <w:rPr>
          <w:lang w:val="fr-CA"/>
        </w:rPr>
        <w:t>r</w:t>
      </w:r>
      <w:r w:rsidRPr="00A266EB">
        <w:rPr>
          <w:lang w:val="fr-CA"/>
        </w:rPr>
        <w:t>ègle </w:t>
      </w:r>
      <w:r w:rsidR="002B5962" w:rsidRPr="00A266EB">
        <w:rPr>
          <w:lang w:val="fr-CA"/>
        </w:rPr>
        <w:t>46 pr</w:t>
      </w:r>
      <w:r w:rsidRPr="00A266EB">
        <w:rPr>
          <w:lang w:val="fr-CA"/>
        </w:rPr>
        <w:t xml:space="preserve">évoit que la </w:t>
      </w:r>
      <w:r w:rsidR="003D474D" w:rsidRPr="00A266EB">
        <w:rPr>
          <w:lang w:val="fr-CA"/>
        </w:rPr>
        <w:t>divulgation</w:t>
      </w:r>
      <w:r w:rsidR="002B5962" w:rsidRPr="00A266EB">
        <w:rPr>
          <w:lang w:val="fr-CA"/>
        </w:rPr>
        <w:t xml:space="preserve"> </w:t>
      </w:r>
      <w:r w:rsidRPr="00A266EB">
        <w:rPr>
          <w:lang w:val="fr-CA"/>
        </w:rPr>
        <w:t>d’un</w:t>
      </w:r>
      <w:r w:rsidR="002B5962" w:rsidRPr="00A266EB">
        <w:rPr>
          <w:lang w:val="fr-CA"/>
        </w:rPr>
        <w:t xml:space="preserve"> document </w:t>
      </w:r>
      <w:r w:rsidRPr="00A266EB">
        <w:rPr>
          <w:lang w:val="fr-CA"/>
        </w:rPr>
        <w:t>ne constitue pas un aveu de sa pertinence ou de son admissibilité. Cela signifie qu’une partie peut divulguer un document et en contester subséquemment la pertinence et l’admissibilité à l’audience principale si l’appel n’est pas réglé d’une autre façon.</w:t>
      </w:r>
      <w:r w:rsidR="002B5962" w:rsidRPr="00A266EB">
        <w:rPr>
          <w:lang w:val="fr-CA"/>
        </w:rPr>
        <w:t xml:space="preserve"> </w:t>
      </w:r>
      <w:r w:rsidRPr="00A266EB">
        <w:rPr>
          <w:lang w:val="fr-CA"/>
        </w:rPr>
        <w:t xml:space="preserve">Étant donné que la grande majorité des appels sont réglés, le différend concernant la divulgation devient théorique. En </w:t>
      </w:r>
      <w:r w:rsidR="007C46A4" w:rsidRPr="00A266EB">
        <w:rPr>
          <w:lang w:val="fr-CA"/>
        </w:rPr>
        <w:t>conséquence</w:t>
      </w:r>
      <w:r w:rsidRPr="00A266EB">
        <w:rPr>
          <w:lang w:val="fr-CA"/>
        </w:rPr>
        <w:t xml:space="preserve">, il est souvent plus efficace de fournir les documents à divulguer plutôt que </w:t>
      </w:r>
      <w:r w:rsidR="007C46A4" w:rsidRPr="00A266EB">
        <w:rPr>
          <w:lang w:val="fr-CA"/>
        </w:rPr>
        <w:t xml:space="preserve">de déposer une motion coûteuse qui se révélera </w:t>
      </w:r>
      <w:r w:rsidR="009C58D6" w:rsidRPr="00A266EB">
        <w:rPr>
          <w:lang w:val="fr-CA"/>
        </w:rPr>
        <w:t xml:space="preserve">en définitive </w:t>
      </w:r>
      <w:r w:rsidR="007C46A4" w:rsidRPr="00A266EB">
        <w:rPr>
          <w:lang w:val="fr-CA"/>
        </w:rPr>
        <w:t>inutile.</w:t>
      </w:r>
    </w:p>
    <w:p w14:paraId="54B8C10E" w14:textId="77777777" w:rsidR="002A2387" w:rsidRPr="00A266EB" w:rsidRDefault="002A2387" w:rsidP="002A2387">
      <w:pPr>
        <w:pStyle w:val="BodyText"/>
        <w:rPr>
          <w:lang w:val="fr-CA"/>
        </w:rPr>
      </w:pPr>
    </w:p>
    <w:p w14:paraId="750BE06E" w14:textId="37FA13A3" w:rsidR="002A2387" w:rsidRPr="00B14FC9" w:rsidRDefault="002B5962" w:rsidP="006949EE">
      <w:pPr>
        <w:pStyle w:val="Title"/>
        <w:spacing w:after="160"/>
        <w:jc w:val="left"/>
      </w:pPr>
      <w:r w:rsidRPr="00C82DE5">
        <w:t>Proportion</w:t>
      </w:r>
      <w:r w:rsidR="007C46A4" w:rsidRPr="00C82DE5">
        <w:t>n</w:t>
      </w:r>
      <w:r w:rsidRPr="00C82DE5">
        <w:t>alit</w:t>
      </w:r>
      <w:r w:rsidR="007C46A4" w:rsidRPr="00C82DE5">
        <w:t>é</w:t>
      </w:r>
    </w:p>
    <w:p w14:paraId="1C1807E9" w14:textId="0E6FE0B3" w:rsidR="002B5962" w:rsidRPr="00A266EB" w:rsidRDefault="00392343" w:rsidP="002A2387">
      <w:pPr>
        <w:pStyle w:val="BodyText"/>
        <w:rPr>
          <w:lang w:val="fr-CA"/>
        </w:rPr>
      </w:pPr>
      <w:r w:rsidRPr="00A266EB">
        <w:rPr>
          <w:lang w:val="fr-CA"/>
        </w:rPr>
        <w:t xml:space="preserve">La </w:t>
      </w:r>
      <w:r w:rsidR="00553887" w:rsidRPr="00A266EB">
        <w:rPr>
          <w:lang w:val="fr-CA"/>
        </w:rPr>
        <w:t>r</w:t>
      </w:r>
      <w:r w:rsidRPr="00A266EB">
        <w:rPr>
          <w:lang w:val="fr-CA"/>
        </w:rPr>
        <w:t>ègle </w:t>
      </w:r>
      <w:r w:rsidR="002B5962" w:rsidRPr="00A266EB">
        <w:rPr>
          <w:lang w:val="fr-CA"/>
        </w:rPr>
        <w:t xml:space="preserve">5 </w:t>
      </w:r>
      <w:r w:rsidRPr="00A266EB">
        <w:rPr>
          <w:lang w:val="fr-CA"/>
        </w:rPr>
        <w:t xml:space="preserve">des Règles de pratique et de procédure de la </w:t>
      </w:r>
      <w:r w:rsidR="00173E53" w:rsidRPr="00A266EB">
        <w:rPr>
          <w:lang w:val="fr-CA"/>
        </w:rPr>
        <w:t>Commission</w:t>
      </w:r>
      <w:r w:rsidRPr="00A266EB">
        <w:rPr>
          <w:lang w:val="fr-CA"/>
        </w:rPr>
        <w:t xml:space="preserve"> prévoit que les </w:t>
      </w:r>
      <w:r w:rsidR="00553887" w:rsidRPr="00A266EB">
        <w:rPr>
          <w:lang w:val="fr-CA"/>
        </w:rPr>
        <w:t>r</w:t>
      </w:r>
      <w:r w:rsidRPr="00A266EB">
        <w:rPr>
          <w:lang w:val="fr-CA"/>
        </w:rPr>
        <w:t>ègles sont appliquées d’une manière proportionnelle à l’importance et à la complexité des questions en litige dans une instance et dans le but de régler les appels dans le cycle de quatre ans.  En conséquence, lorsqu’un</w:t>
      </w:r>
      <w:r w:rsidR="008E23AD" w:rsidRPr="00A266EB">
        <w:rPr>
          <w:lang w:val="fr-CA"/>
        </w:rPr>
        <w:t xml:space="preserve"> document est pertinent au regard d’</w:t>
      </w:r>
      <w:r w:rsidRPr="00A266EB">
        <w:rPr>
          <w:lang w:val="fr-CA"/>
        </w:rPr>
        <w:t>une question en litige, il est possible que la Commission n’</w:t>
      </w:r>
      <w:r w:rsidR="00553887" w:rsidRPr="00A266EB">
        <w:rPr>
          <w:lang w:val="fr-CA"/>
        </w:rPr>
        <w:t xml:space="preserve">en </w:t>
      </w:r>
      <w:r w:rsidRPr="00A266EB">
        <w:rPr>
          <w:lang w:val="fr-CA"/>
        </w:rPr>
        <w:t xml:space="preserve">exige pas </w:t>
      </w:r>
      <w:r w:rsidR="00553887" w:rsidRPr="00A266EB">
        <w:rPr>
          <w:lang w:val="fr-CA"/>
        </w:rPr>
        <w:t>l</w:t>
      </w:r>
      <w:r w:rsidRPr="00A266EB">
        <w:rPr>
          <w:lang w:val="fr-CA"/>
        </w:rPr>
        <w:t xml:space="preserve">a divulgation si elle estime qu’il n’est pas proportionnel à l’importance et à la complexité des questions en litige. Pour appliquer ce critère, la Commission examinera les facteurs </w:t>
      </w:r>
      <w:r w:rsidR="008E23AD" w:rsidRPr="00A266EB">
        <w:rPr>
          <w:lang w:val="fr-CA"/>
        </w:rPr>
        <w:t>qui suivent</w:t>
      </w:r>
      <w:r w:rsidRPr="00A266EB">
        <w:rPr>
          <w:lang w:val="fr-CA"/>
        </w:rPr>
        <w:t xml:space="preserve">, que la Cour supérieure de </w:t>
      </w:r>
      <w:r w:rsidR="00387B01" w:rsidRPr="00A266EB">
        <w:rPr>
          <w:lang w:val="fr-CA"/>
        </w:rPr>
        <w:t xml:space="preserve">justice </w:t>
      </w:r>
      <w:r w:rsidRPr="00A266EB">
        <w:rPr>
          <w:lang w:val="fr-CA"/>
        </w:rPr>
        <w:t xml:space="preserve">de l’Ontario applique dans le cadre des </w:t>
      </w:r>
      <w:r w:rsidR="00387B01" w:rsidRPr="00A266EB">
        <w:rPr>
          <w:lang w:val="fr-CA"/>
        </w:rPr>
        <w:t>instances</w:t>
      </w:r>
      <w:r w:rsidRPr="00A266EB">
        <w:rPr>
          <w:lang w:val="fr-CA"/>
        </w:rPr>
        <w:t xml:space="preserve"> </w:t>
      </w:r>
      <w:r w:rsidR="00387B01" w:rsidRPr="00A266EB">
        <w:rPr>
          <w:lang w:val="fr-CA"/>
        </w:rPr>
        <w:t>civiles (règle</w:t>
      </w:r>
      <w:r w:rsidRPr="00A266EB">
        <w:rPr>
          <w:lang w:val="fr-CA"/>
        </w:rPr>
        <w:t xml:space="preserve"> </w:t>
      </w:r>
      <w:r w:rsidR="00387B01" w:rsidRPr="00A266EB">
        <w:rPr>
          <w:lang w:val="fr-CA"/>
        </w:rPr>
        <w:t>29.2 des Règles de procédure civile) :</w:t>
      </w:r>
    </w:p>
    <w:p w14:paraId="4CEFE7E4" w14:textId="77777777" w:rsidR="002A2387" w:rsidRPr="00A266EB" w:rsidRDefault="002A2387" w:rsidP="002A2387">
      <w:pPr>
        <w:pStyle w:val="BodyText"/>
        <w:rPr>
          <w:lang w:val="fr-CA"/>
        </w:rPr>
      </w:pPr>
    </w:p>
    <w:p w14:paraId="60F440F2" w14:textId="7A556C63" w:rsidR="002B5962" w:rsidRPr="00C82DE5" w:rsidRDefault="00387B01" w:rsidP="008E23AD">
      <w:pPr>
        <w:pStyle w:val="ListParagraph"/>
        <w:widowControl w:val="0"/>
        <w:numPr>
          <w:ilvl w:val="2"/>
          <w:numId w:val="8"/>
        </w:numPr>
        <w:tabs>
          <w:tab w:val="left" w:pos="880"/>
          <w:tab w:val="left" w:pos="881"/>
        </w:tabs>
        <w:autoSpaceDE w:val="0"/>
        <w:autoSpaceDN w:val="0"/>
        <w:spacing w:after="0" w:line="240" w:lineRule="auto"/>
        <w:ind w:left="879" w:hanging="361"/>
        <w:contextualSpacing w:val="0"/>
        <w:rPr>
          <w:rFonts w:ascii="Arial" w:hAnsi="Arial" w:cs="Arial"/>
          <w:bCs/>
          <w:sz w:val="24"/>
          <w:szCs w:val="24"/>
          <w:lang w:val="fr-CA"/>
        </w:rPr>
      </w:pPr>
      <w:r w:rsidRPr="00C82DE5">
        <w:rPr>
          <w:rFonts w:ascii="Arial" w:hAnsi="Arial" w:cs="Arial"/>
          <w:bCs/>
          <w:sz w:val="24"/>
          <w:szCs w:val="24"/>
          <w:lang w:val="fr-CA"/>
        </w:rPr>
        <w:t xml:space="preserve">la question de savoir si les frais associés à la </w:t>
      </w:r>
      <w:r w:rsidR="003D474D" w:rsidRPr="00C82DE5">
        <w:rPr>
          <w:rFonts w:ascii="Arial" w:hAnsi="Arial" w:cs="Arial"/>
          <w:bCs/>
          <w:sz w:val="24"/>
          <w:szCs w:val="24"/>
          <w:lang w:val="fr-CA"/>
        </w:rPr>
        <w:t>divulgation</w:t>
      </w:r>
      <w:r w:rsidR="002B5962" w:rsidRPr="00C82DE5">
        <w:rPr>
          <w:rFonts w:ascii="Arial" w:hAnsi="Arial" w:cs="Arial"/>
          <w:bCs/>
          <w:spacing w:val="-1"/>
          <w:sz w:val="24"/>
          <w:szCs w:val="24"/>
          <w:lang w:val="fr-CA"/>
        </w:rPr>
        <w:t xml:space="preserve"> </w:t>
      </w:r>
      <w:r w:rsidRPr="00C82DE5">
        <w:rPr>
          <w:rFonts w:ascii="Arial" w:hAnsi="Arial" w:cs="Arial"/>
          <w:bCs/>
          <w:spacing w:val="-1"/>
          <w:sz w:val="24"/>
          <w:szCs w:val="24"/>
          <w:lang w:val="fr-CA"/>
        </w:rPr>
        <w:t>sont injustifiés;</w:t>
      </w:r>
    </w:p>
    <w:p w14:paraId="156C72D0" w14:textId="0D235C51" w:rsidR="002B5962" w:rsidRPr="00C82DE5" w:rsidRDefault="00387B01" w:rsidP="008E23AD">
      <w:pPr>
        <w:pStyle w:val="ListParagraph"/>
        <w:widowControl w:val="0"/>
        <w:numPr>
          <w:ilvl w:val="2"/>
          <w:numId w:val="8"/>
        </w:numPr>
        <w:tabs>
          <w:tab w:val="left" w:pos="880"/>
          <w:tab w:val="left" w:pos="881"/>
        </w:tabs>
        <w:autoSpaceDE w:val="0"/>
        <w:autoSpaceDN w:val="0"/>
        <w:spacing w:after="0" w:line="240" w:lineRule="auto"/>
        <w:ind w:left="879" w:right="445"/>
        <w:contextualSpacing w:val="0"/>
        <w:rPr>
          <w:rFonts w:ascii="Arial" w:hAnsi="Arial" w:cs="Arial"/>
          <w:bCs/>
          <w:sz w:val="24"/>
          <w:szCs w:val="24"/>
          <w:lang w:val="fr-CA"/>
        </w:rPr>
      </w:pPr>
      <w:r w:rsidRPr="00C82DE5">
        <w:rPr>
          <w:rFonts w:ascii="Arial" w:hAnsi="Arial" w:cs="Arial"/>
          <w:bCs/>
          <w:sz w:val="24"/>
          <w:szCs w:val="24"/>
          <w:lang w:val="fr-CA"/>
        </w:rPr>
        <w:t>la question de savoir si</w:t>
      </w:r>
      <w:r w:rsidR="002B5962" w:rsidRPr="00C82DE5">
        <w:rPr>
          <w:rFonts w:ascii="Arial" w:hAnsi="Arial" w:cs="Arial"/>
          <w:bCs/>
          <w:sz w:val="24"/>
          <w:szCs w:val="24"/>
          <w:lang w:val="fr-CA"/>
        </w:rPr>
        <w:t xml:space="preserve"> </w:t>
      </w:r>
      <w:r w:rsidRPr="00C82DE5">
        <w:rPr>
          <w:rFonts w:ascii="Arial" w:hAnsi="Arial" w:cs="Arial"/>
          <w:bCs/>
          <w:sz w:val="24"/>
          <w:szCs w:val="24"/>
          <w:lang w:val="fr-CA"/>
        </w:rPr>
        <w:t xml:space="preserve">la </w:t>
      </w:r>
      <w:r w:rsidR="003D474D" w:rsidRPr="00C82DE5">
        <w:rPr>
          <w:rFonts w:ascii="Arial" w:hAnsi="Arial" w:cs="Arial"/>
          <w:bCs/>
          <w:sz w:val="24"/>
          <w:szCs w:val="24"/>
          <w:lang w:val="fr-CA"/>
        </w:rPr>
        <w:t>divulgation</w:t>
      </w:r>
      <w:r w:rsidR="002B5962" w:rsidRPr="00C82DE5">
        <w:rPr>
          <w:rFonts w:ascii="Arial" w:hAnsi="Arial" w:cs="Arial"/>
          <w:bCs/>
          <w:sz w:val="24"/>
          <w:szCs w:val="24"/>
          <w:lang w:val="fr-CA"/>
        </w:rPr>
        <w:t xml:space="preserve"> </w:t>
      </w:r>
      <w:r w:rsidRPr="00C82DE5">
        <w:rPr>
          <w:rFonts w:ascii="Arial" w:hAnsi="Arial" w:cs="Arial"/>
          <w:bCs/>
          <w:sz w:val="24"/>
          <w:szCs w:val="24"/>
          <w:lang w:val="fr-CA"/>
        </w:rPr>
        <w:t>causera un préjudice indu à la partie divulgatrice;</w:t>
      </w:r>
    </w:p>
    <w:p w14:paraId="7C7D4271" w14:textId="11211F5E" w:rsidR="002B5962" w:rsidRPr="00C82DE5" w:rsidRDefault="00387B01" w:rsidP="008E23AD">
      <w:pPr>
        <w:pStyle w:val="ListParagraph"/>
        <w:widowControl w:val="0"/>
        <w:numPr>
          <w:ilvl w:val="2"/>
          <w:numId w:val="8"/>
        </w:numPr>
        <w:tabs>
          <w:tab w:val="left" w:pos="880"/>
          <w:tab w:val="left" w:pos="881"/>
        </w:tabs>
        <w:autoSpaceDE w:val="0"/>
        <w:autoSpaceDN w:val="0"/>
        <w:spacing w:before="11" w:after="0" w:line="240" w:lineRule="auto"/>
        <w:ind w:right="892"/>
        <w:contextualSpacing w:val="0"/>
        <w:rPr>
          <w:rFonts w:ascii="Arial" w:hAnsi="Arial" w:cs="Arial"/>
          <w:bCs/>
          <w:sz w:val="24"/>
          <w:szCs w:val="24"/>
          <w:lang w:val="fr-CA"/>
        </w:rPr>
      </w:pPr>
      <w:r w:rsidRPr="00C82DE5">
        <w:rPr>
          <w:rFonts w:ascii="Arial" w:hAnsi="Arial" w:cs="Arial"/>
          <w:bCs/>
          <w:sz w:val="24"/>
          <w:szCs w:val="24"/>
          <w:lang w:val="fr-CA"/>
        </w:rPr>
        <w:t xml:space="preserve">la question de savoir si le fait d’exiger la </w:t>
      </w:r>
      <w:r w:rsidR="003D474D" w:rsidRPr="00C82DE5">
        <w:rPr>
          <w:rFonts w:ascii="Arial" w:hAnsi="Arial" w:cs="Arial"/>
          <w:bCs/>
          <w:sz w:val="24"/>
          <w:szCs w:val="24"/>
          <w:lang w:val="fr-CA"/>
        </w:rPr>
        <w:t>divulgation</w:t>
      </w:r>
      <w:r w:rsidR="002B5962" w:rsidRPr="00C82DE5">
        <w:rPr>
          <w:rFonts w:ascii="Arial" w:hAnsi="Arial" w:cs="Arial"/>
          <w:bCs/>
          <w:spacing w:val="-3"/>
          <w:sz w:val="24"/>
          <w:szCs w:val="24"/>
          <w:lang w:val="fr-CA"/>
        </w:rPr>
        <w:t xml:space="preserve"> </w:t>
      </w:r>
      <w:r w:rsidRPr="00C82DE5">
        <w:rPr>
          <w:rFonts w:ascii="Arial" w:hAnsi="Arial" w:cs="Arial"/>
          <w:bCs/>
          <w:spacing w:val="-3"/>
          <w:sz w:val="24"/>
          <w:szCs w:val="24"/>
          <w:lang w:val="fr-CA"/>
        </w:rPr>
        <w:t>entravera indûment le déroulement ordonné de la procédure d’appel;</w:t>
      </w:r>
    </w:p>
    <w:p w14:paraId="6C6AE1AF" w14:textId="20AD774D" w:rsidR="002B5962" w:rsidRPr="00C82DE5" w:rsidRDefault="00387B01" w:rsidP="008E23AD">
      <w:pPr>
        <w:pStyle w:val="ListParagraph"/>
        <w:widowControl w:val="0"/>
        <w:numPr>
          <w:ilvl w:val="2"/>
          <w:numId w:val="8"/>
        </w:numPr>
        <w:tabs>
          <w:tab w:val="left" w:pos="880"/>
          <w:tab w:val="left" w:pos="881"/>
        </w:tabs>
        <w:autoSpaceDE w:val="0"/>
        <w:autoSpaceDN w:val="0"/>
        <w:spacing w:before="10" w:after="0" w:line="240" w:lineRule="auto"/>
        <w:ind w:right="812"/>
        <w:contextualSpacing w:val="0"/>
        <w:rPr>
          <w:rFonts w:ascii="Arial" w:hAnsi="Arial" w:cs="Arial"/>
          <w:bCs/>
          <w:sz w:val="24"/>
          <w:szCs w:val="24"/>
          <w:lang w:val="fr-CA"/>
        </w:rPr>
      </w:pPr>
      <w:r w:rsidRPr="00C82DE5">
        <w:rPr>
          <w:rFonts w:ascii="Arial" w:hAnsi="Arial" w:cs="Arial"/>
          <w:bCs/>
          <w:sz w:val="24"/>
          <w:szCs w:val="24"/>
          <w:lang w:val="fr-CA"/>
        </w:rPr>
        <w:t>la question de savoir si le</w:t>
      </w:r>
      <w:r w:rsidR="002B5962" w:rsidRPr="00C82DE5">
        <w:rPr>
          <w:rFonts w:ascii="Arial" w:hAnsi="Arial" w:cs="Arial"/>
          <w:bCs/>
          <w:spacing w:val="-3"/>
          <w:sz w:val="24"/>
          <w:szCs w:val="24"/>
          <w:lang w:val="fr-CA"/>
        </w:rPr>
        <w:t xml:space="preserve"> </w:t>
      </w:r>
      <w:r w:rsidR="002B5962" w:rsidRPr="00C82DE5">
        <w:rPr>
          <w:rFonts w:ascii="Arial" w:hAnsi="Arial" w:cs="Arial"/>
          <w:bCs/>
          <w:sz w:val="24"/>
          <w:szCs w:val="24"/>
          <w:lang w:val="fr-CA"/>
        </w:rPr>
        <w:t>document</w:t>
      </w:r>
      <w:r w:rsidR="002B5962" w:rsidRPr="00C82DE5">
        <w:rPr>
          <w:rFonts w:ascii="Arial" w:hAnsi="Arial" w:cs="Arial"/>
          <w:bCs/>
          <w:spacing w:val="-6"/>
          <w:sz w:val="24"/>
          <w:szCs w:val="24"/>
          <w:lang w:val="fr-CA"/>
        </w:rPr>
        <w:t xml:space="preserve"> </w:t>
      </w:r>
      <w:r w:rsidRPr="00C82DE5">
        <w:rPr>
          <w:rFonts w:ascii="Arial" w:hAnsi="Arial" w:cs="Arial"/>
          <w:bCs/>
          <w:sz w:val="24"/>
          <w:szCs w:val="24"/>
          <w:lang w:val="fr-CA"/>
        </w:rPr>
        <w:t>e</w:t>
      </w:r>
      <w:r w:rsidR="002B5962" w:rsidRPr="00C82DE5">
        <w:rPr>
          <w:rFonts w:ascii="Arial" w:hAnsi="Arial" w:cs="Arial"/>
          <w:bCs/>
          <w:sz w:val="24"/>
          <w:szCs w:val="24"/>
          <w:lang w:val="fr-CA"/>
        </w:rPr>
        <w:t>s</w:t>
      </w:r>
      <w:r w:rsidRPr="00C82DE5">
        <w:rPr>
          <w:rFonts w:ascii="Arial" w:hAnsi="Arial" w:cs="Arial"/>
          <w:bCs/>
          <w:sz w:val="24"/>
          <w:szCs w:val="24"/>
          <w:lang w:val="fr-CA"/>
        </w:rPr>
        <w:t xml:space="preserve">t facilement accessible à la partie qui en fait la demande auprès d’une </w:t>
      </w:r>
      <w:r w:rsidR="00E01B3A">
        <w:rPr>
          <w:rFonts w:ascii="Arial" w:hAnsi="Arial" w:cs="Arial"/>
          <w:bCs/>
          <w:sz w:val="24"/>
          <w:szCs w:val="24"/>
          <w:lang w:val="fr-CA"/>
        </w:rPr>
        <w:t>a</w:t>
      </w:r>
      <w:r w:rsidRPr="00C82DE5">
        <w:rPr>
          <w:rFonts w:ascii="Arial" w:hAnsi="Arial" w:cs="Arial"/>
          <w:bCs/>
          <w:sz w:val="24"/>
          <w:szCs w:val="24"/>
          <w:lang w:val="fr-CA"/>
        </w:rPr>
        <w:t>utre source;</w:t>
      </w:r>
    </w:p>
    <w:p w14:paraId="33B1EE5D" w14:textId="1666649C" w:rsidR="002B5962" w:rsidRPr="00D85710" w:rsidRDefault="00387B01" w:rsidP="00D85710">
      <w:pPr>
        <w:pStyle w:val="ListParagraph"/>
        <w:widowControl w:val="0"/>
        <w:numPr>
          <w:ilvl w:val="2"/>
          <w:numId w:val="8"/>
        </w:numPr>
        <w:tabs>
          <w:tab w:val="left" w:pos="880"/>
          <w:tab w:val="left" w:pos="881"/>
        </w:tabs>
        <w:autoSpaceDE w:val="0"/>
        <w:autoSpaceDN w:val="0"/>
        <w:spacing w:before="5" w:line="240" w:lineRule="auto"/>
        <w:ind w:left="879" w:right="442" w:hanging="357"/>
        <w:contextualSpacing w:val="0"/>
        <w:rPr>
          <w:rFonts w:ascii="Arial" w:hAnsi="Arial" w:cs="Arial"/>
          <w:bCs/>
          <w:sz w:val="24"/>
          <w:szCs w:val="24"/>
          <w:lang w:val="fr-CA"/>
        </w:rPr>
      </w:pPr>
      <w:r w:rsidRPr="00C82DE5">
        <w:rPr>
          <w:rFonts w:ascii="Arial" w:hAnsi="Arial" w:cs="Arial"/>
          <w:bCs/>
          <w:sz w:val="24"/>
          <w:szCs w:val="24"/>
          <w:lang w:val="fr-CA"/>
        </w:rPr>
        <w:t xml:space="preserve">la question de savoir si la </w:t>
      </w:r>
      <w:r w:rsidR="003D474D" w:rsidRPr="00C82DE5">
        <w:rPr>
          <w:rFonts w:ascii="Arial" w:hAnsi="Arial" w:cs="Arial"/>
          <w:bCs/>
          <w:sz w:val="24"/>
          <w:szCs w:val="24"/>
          <w:lang w:val="fr-CA"/>
        </w:rPr>
        <w:t>divulgation</w:t>
      </w:r>
      <w:r w:rsidR="002B5962" w:rsidRPr="00C82DE5">
        <w:rPr>
          <w:rFonts w:ascii="Arial" w:hAnsi="Arial" w:cs="Arial"/>
          <w:bCs/>
          <w:spacing w:val="-2"/>
          <w:sz w:val="24"/>
          <w:szCs w:val="24"/>
          <w:lang w:val="fr-CA"/>
        </w:rPr>
        <w:t xml:space="preserve"> </w:t>
      </w:r>
      <w:r w:rsidRPr="00C82DE5">
        <w:rPr>
          <w:rFonts w:ascii="Arial" w:hAnsi="Arial" w:cs="Arial"/>
          <w:bCs/>
          <w:spacing w:val="-2"/>
          <w:sz w:val="24"/>
          <w:szCs w:val="24"/>
          <w:lang w:val="fr-CA"/>
        </w:rPr>
        <w:t>nécessitera la présentation d’un volume excessif de documents.</w:t>
      </w:r>
    </w:p>
    <w:p w14:paraId="4DBECA74" w14:textId="7BD66EAE" w:rsidR="002A2387" w:rsidRPr="00A266EB" w:rsidRDefault="00F706E4" w:rsidP="006949EE">
      <w:pPr>
        <w:pStyle w:val="Title"/>
        <w:spacing w:after="160"/>
        <w:jc w:val="left"/>
      </w:pPr>
      <w:r w:rsidRPr="00A266EB">
        <w:t>Preuve probante</w:t>
      </w:r>
    </w:p>
    <w:p w14:paraId="1311A76B" w14:textId="437F643F" w:rsidR="006949EE" w:rsidRPr="00A266EB" w:rsidRDefault="00F706E4" w:rsidP="006949EE">
      <w:pPr>
        <w:pStyle w:val="BodyText"/>
        <w:spacing w:after="160"/>
        <w:rPr>
          <w:lang w:val="fr-CA"/>
        </w:rPr>
      </w:pPr>
      <w:r w:rsidRPr="00A266EB">
        <w:rPr>
          <w:lang w:val="fr-CA"/>
        </w:rPr>
        <w:t>Un</w:t>
      </w:r>
      <w:r w:rsidR="002B5962" w:rsidRPr="00A266EB">
        <w:rPr>
          <w:lang w:val="fr-CA"/>
        </w:rPr>
        <w:t xml:space="preserve"> document </w:t>
      </w:r>
      <w:r w:rsidRPr="00A266EB">
        <w:rPr>
          <w:lang w:val="fr-CA"/>
        </w:rPr>
        <w:t xml:space="preserve">peut être à la fois pertinent et proportionnel </w:t>
      </w:r>
      <w:r w:rsidR="00553887" w:rsidRPr="00A266EB">
        <w:rPr>
          <w:lang w:val="fr-CA"/>
        </w:rPr>
        <w:t>aux fins de</w:t>
      </w:r>
      <w:r w:rsidRPr="00A266EB">
        <w:rPr>
          <w:lang w:val="fr-CA"/>
        </w:rPr>
        <w:t xml:space="preserve"> la divulgation. Cependant, il se peut qu’il n’ait pas une grande valeur probante lorsqu’il est évalué à titre d’élément de preuve à l’audience. Les parties devraient évaluer l’</w:t>
      </w:r>
      <w:r w:rsidR="008E23AD" w:rsidRPr="00A266EB">
        <w:rPr>
          <w:lang w:val="fr-CA"/>
        </w:rPr>
        <w:t>importance ou la nécessité d’un document aux fins du</w:t>
      </w:r>
      <w:r w:rsidRPr="00A266EB">
        <w:rPr>
          <w:lang w:val="fr-CA"/>
        </w:rPr>
        <w:t xml:space="preserve"> règlement d’une question en litige. Si le document </w:t>
      </w:r>
      <w:r w:rsidRPr="00A266EB">
        <w:rPr>
          <w:lang w:val="fr-CA"/>
        </w:rPr>
        <w:lastRenderedPageBreak/>
        <w:t xml:space="preserve">a une valeur probante limitée, il est </w:t>
      </w:r>
      <w:r w:rsidR="00E01B3A" w:rsidRPr="00A266EB">
        <w:rPr>
          <w:lang w:val="fr-CA"/>
        </w:rPr>
        <w:t>po</w:t>
      </w:r>
      <w:r w:rsidR="00553887" w:rsidRPr="00A266EB">
        <w:rPr>
          <w:lang w:val="fr-CA"/>
        </w:rPr>
        <w:t>ssible</w:t>
      </w:r>
      <w:r w:rsidR="00E01B3A" w:rsidRPr="00A266EB">
        <w:rPr>
          <w:lang w:val="fr-CA"/>
        </w:rPr>
        <w:t xml:space="preserve"> </w:t>
      </w:r>
      <w:r w:rsidRPr="00A266EB">
        <w:rPr>
          <w:lang w:val="fr-CA"/>
        </w:rPr>
        <w:t>que la Commission n’en n’exige pas la divulgation</w:t>
      </w:r>
      <w:r w:rsidR="002B5962" w:rsidRPr="00A266EB">
        <w:rPr>
          <w:lang w:val="fr-CA"/>
        </w:rPr>
        <w:t>.</w:t>
      </w:r>
    </w:p>
    <w:p w14:paraId="0096836E" w14:textId="5FC54FD9" w:rsidR="002A2387" w:rsidRPr="00A266EB" w:rsidRDefault="002B5962" w:rsidP="006949EE">
      <w:pPr>
        <w:pStyle w:val="Title"/>
        <w:spacing w:after="160"/>
        <w:jc w:val="left"/>
        <w:rPr>
          <w:lang w:val="fr-CA"/>
        </w:rPr>
      </w:pPr>
      <w:r w:rsidRPr="00A266EB">
        <w:t>U</w:t>
      </w:r>
      <w:r w:rsidR="00F706E4" w:rsidRPr="00A266EB">
        <w:t>tilisation de la Ligne directrice en matière de</w:t>
      </w:r>
      <w:r w:rsidRPr="00A266EB">
        <w:t xml:space="preserve"> </w:t>
      </w:r>
      <w:r w:rsidR="00F706E4" w:rsidRPr="00A266EB">
        <w:t>d</w:t>
      </w:r>
      <w:r w:rsidR="003D474D" w:rsidRPr="00A266EB">
        <w:t>ivulgation</w:t>
      </w:r>
      <w:r w:rsidRPr="00A266EB">
        <w:t xml:space="preserve"> </w:t>
      </w:r>
      <w:r w:rsidR="00F706E4" w:rsidRPr="00A266EB">
        <w:t xml:space="preserve">et du </w:t>
      </w:r>
      <w:proofErr w:type="spellStart"/>
      <w:r w:rsidR="006E600B" w:rsidRPr="00A266EB">
        <w:t>calendrier</w:t>
      </w:r>
      <w:proofErr w:type="spellEnd"/>
      <w:r w:rsidR="006E600B" w:rsidRPr="00A266EB">
        <w:t xml:space="preserve"> de divulgation</w:t>
      </w:r>
    </w:p>
    <w:p w14:paraId="195533E2" w14:textId="7ED305E8" w:rsidR="002A2387" w:rsidRPr="00A266EB" w:rsidRDefault="00F706E4" w:rsidP="002A2387">
      <w:pPr>
        <w:pStyle w:val="BodyText"/>
        <w:rPr>
          <w:lang w:val="fr-CA"/>
        </w:rPr>
      </w:pPr>
      <w:r w:rsidRPr="00A266EB">
        <w:rPr>
          <w:lang w:val="fr-CA"/>
        </w:rPr>
        <w:t xml:space="preserve">Le </w:t>
      </w:r>
      <w:r w:rsidR="006E600B" w:rsidRPr="00A266EB">
        <w:rPr>
          <w:lang w:val="fr-CA"/>
        </w:rPr>
        <w:t>calendrier de divulgation</w:t>
      </w:r>
      <w:r w:rsidR="002B5962" w:rsidRPr="00A266EB">
        <w:rPr>
          <w:lang w:val="fr-CA"/>
        </w:rPr>
        <w:t xml:space="preserve"> </w:t>
      </w:r>
      <w:r w:rsidRPr="00A266EB">
        <w:rPr>
          <w:lang w:val="fr-CA"/>
        </w:rPr>
        <w:t xml:space="preserve">décrit le </w:t>
      </w:r>
      <w:r w:rsidR="002B5962" w:rsidRPr="00A266EB">
        <w:rPr>
          <w:lang w:val="fr-CA"/>
        </w:rPr>
        <w:t xml:space="preserve">consensus </w:t>
      </w:r>
      <w:r w:rsidRPr="00A266EB">
        <w:rPr>
          <w:lang w:val="fr-CA"/>
        </w:rPr>
        <w:t xml:space="preserve">des intervenants en ce qui concerne les documents qui devraient être divulgués au sujet des questions en litige figurant dans le </w:t>
      </w:r>
      <w:r w:rsidR="00553887" w:rsidRPr="00A266EB">
        <w:rPr>
          <w:lang w:val="fr-CA"/>
        </w:rPr>
        <w:t>c</w:t>
      </w:r>
      <w:r w:rsidRPr="00A266EB">
        <w:rPr>
          <w:lang w:val="fr-CA"/>
        </w:rPr>
        <w:t>alendrier.</w:t>
      </w:r>
      <w:r w:rsidR="00984A4D" w:rsidRPr="00A266EB">
        <w:rPr>
          <w:lang w:val="fr-CA"/>
        </w:rPr>
        <w:t xml:space="preserve"> Il existe un consensus selon lequel le </w:t>
      </w:r>
      <w:r w:rsidR="006E600B" w:rsidRPr="00A266EB">
        <w:rPr>
          <w:lang w:val="fr-CA"/>
        </w:rPr>
        <w:t>calendrier de divulgation</w:t>
      </w:r>
      <w:r w:rsidR="00984A4D" w:rsidRPr="00A266EB">
        <w:rPr>
          <w:lang w:val="fr-CA"/>
        </w:rPr>
        <w:t xml:space="preserve"> traite adéquatement de la plupart des exigences relatives à la divulgation en ce qui a trait à ces questions.</w:t>
      </w:r>
      <w:r w:rsidR="002B5962" w:rsidRPr="00A266EB">
        <w:rPr>
          <w:lang w:val="fr-CA"/>
        </w:rPr>
        <w:t xml:space="preserve"> </w:t>
      </w:r>
      <w:r w:rsidR="00984A4D" w:rsidRPr="00A266EB">
        <w:rPr>
          <w:lang w:val="fr-CA"/>
        </w:rPr>
        <w:t xml:space="preserve">Par conséquent, à moins de circonstances exceptionnelles, la Commission s’attend à ce que la </w:t>
      </w:r>
      <w:r w:rsidR="003D474D" w:rsidRPr="00A266EB">
        <w:rPr>
          <w:lang w:val="fr-CA"/>
        </w:rPr>
        <w:t>divulgation</w:t>
      </w:r>
      <w:r w:rsidR="002B5962" w:rsidRPr="00A266EB">
        <w:rPr>
          <w:lang w:val="fr-CA"/>
        </w:rPr>
        <w:t xml:space="preserve"> </w:t>
      </w:r>
      <w:r w:rsidR="00984A4D" w:rsidRPr="00A266EB">
        <w:rPr>
          <w:lang w:val="fr-CA"/>
        </w:rPr>
        <w:t xml:space="preserve">soit conforme au </w:t>
      </w:r>
      <w:r w:rsidR="006E600B" w:rsidRPr="00A266EB">
        <w:rPr>
          <w:lang w:val="fr-CA"/>
        </w:rPr>
        <w:t>calendrier de divulgation</w:t>
      </w:r>
      <w:r w:rsidR="00984A4D" w:rsidRPr="00A266EB">
        <w:rPr>
          <w:lang w:val="fr-CA"/>
        </w:rPr>
        <w:t>.</w:t>
      </w:r>
    </w:p>
    <w:p w14:paraId="0CD42933" w14:textId="670080AC" w:rsidR="00ED7C69" w:rsidRPr="00A266EB" w:rsidRDefault="00984A4D" w:rsidP="002A2387">
      <w:pPr>
        <w:pStyle w:val="BodyText"/>
        <w:rPr>
          <w:lang w:val="fr-CA"/>
        </w:rPr>
      </w:pPr>
      <w:r w:rsidRPr="00A266EB">
        <w:rPr>
          <w:lang w:val="fr-CA"/>
        </w:rPr>
        <w:t xml:space="preserve"> </w:t>
      </w:r>
    </w:p>
    <w:p w14:paraId="5E6D9DEA" w14:textId="74B42011" w:rsidR="002B5962" w:rsidRPr="00A266EB" w:rsidRDefault="00984A4D" w:rsidP="002A2387">
      <w:pPr>
        <w:pStyle w:val="BodyText"/>
        <w:rPr>
          <w:lang w:val="fr-CA"/>
        </w:rPr>
      </w:pPr>
      <w:r w:rsidRPr="00A266EB">
        <w:rPr>
          <w:lang w:val="fr-CA"/>
        </w:rPr>
        <w:t xml:space="preserve">Toutes les parties doivent donc se reporter au </w:t>
      </w:r>
      <w:r w:rsidR="006E600B" w:rsidRPr="00A266EB">
        <w:rPr>
          <w:lang w:val="fr-CA"/>
        </w:rPr>
        <w:t>calendrier de divulgation</w:t>
      </w:r>
      <w:r w:rsidRPr="00A266EB">
        <w:rPr>
          <w:lang w:val="fr-CA"/>
        </w:rPr>
        <w:t xml:space="preserve"> lorsqu’elles se demandent si un document doit être divulgué.</w:t>
      </w:r>
    </w:p>
    <w:p w14:paraId="3D3F2A81" w14:textId="77777777" w:rsidR="002A2387" w:rsidRPr="00A266EB" w:rsidRDefault="002A2387" w:rsidP="002A2387">
      <w:pPr>
        <w:pStyle w:val="BodyText"/>
        <w:rPr>
          <w:lang w:val="fr-CA"/>
        </w:rPr>
      </w:pPr>
    </w:p>
    <w:p w14:paraId="0888795C" w14:textId="6AF44475" w:rsidR="002A2387" w:rsidRPr="00A266EB" w:rsidRDefault="002B5962" w:rsidP="006949EE">
      <w:pPr>
        <w:pStyle w:val="Title"/>
        <w:spacing w:after="160"/>
        <w:jc w:val="left"/>
        <w:rPr>
          <w:lang w:val="fr-CA"/>
        </w:rPr>
      </w:pPr>
      <w:r w:rsidRPr="00C82DE5">
        <w:t>R</w:t>
      </w:r>
      <w:r w:rsidR="00984A4D" w:rsidRPr="00C82DE5">
        <w:t xml:space="preserve">ôle des représentants en matière de présentation et de demande de documents </w:t>
      </w:r>
      <w:r w:rsidR="00ED7C69">
        <w:t xml:space="preserve">à </w:t>
      </w:r>
      <w:proofErr w:type="spellStart"/>
      <w:r w:rsidR="00984A4D" w:rsidRPr="00C82DE5">
        <w:t>divulgu</w:t>
      </w:r>
      <w:r w:rsidR="00ED7C69">
        <w:t>er</w:t>
      </w:r>
      <w:proofErr w:type="spellEnd"/>
    </w:p>
    <w:p w14:paraId="5556E173" w14:textId="7F1FF860" w:rsidR="002A2387" w:rsidRPr="00A266EB" w:rsidRDefault="00C15C9E" w:rsidP="002A2387">
      <w:pPr>
        <w:pStyle w:val="BodyText"/>
        <w:rPr>
          <w:lang w:val="fr-CA"/>
        </w:rPr>
      </w:pPr>
      <w:r w:rsidRPr="00A266EB">
        <w:rPr>
          <w:lang w:val="fr-CA"/>
        </w:rPr>
        <w:t xml:space="preserve">La </w:t>
      </w:r>
      <w:r w:rsidR="00ED7C69" w:rsidRPr="00A266EB">
        <w:rPr>
          <w:lang w:val="fr-CA"/>
        </w:rPr>
        <w:t>r</w:t>
      </w:r>
      <w:r w:rsidRPr="00A266EB">
        <w:rPr>
          <w:lang w:val="fr-CA"/>
        </w:rPr>
        <w:t>ègle </w:t>
      </w:r>
      <w:r w:rsidR="002B5962" w:rsidRPr="00A266EB">
        <w:rPr>
          <w:lang w:val="fr-CA"/>
        </w:rPr>
        <w:t>45 pr</w:t>
      </w:r>
      <w:r w:rsidRPr="00A266EB">
        <w:rPr>
          <w:lang w:val="fr-CA"/>
        </w:rPr>
        <w:t xml:space="preserve">évoit que les parties sont tenues de fournir uniquement les documents qui sont en leur possession, sous leur garde ou sous leur autorité. Les représentants des parties doivent obtenir tous les documents </w:t>
      </w:r>
      <w:r w:rsidR="00ED7C69" w:rsidRPr="00A266EB">
        <w:rPr>
          <w:lang w:val="fr-CA"/>
        </w:rPr>
        <w:t xml:space="preserve">pertinents </w:t>
      </w:r>
      <w:r w:rsidRPr="00A266EB">
        <w:rPr>
          <w:lang w:val="fr-CA"/>
        </w:rPr>
        <w:t>auprès de leurs clients. Ils ne devraient pas exiger la divulgation</w:t>
      </w:r>
      <w:r w:rsidR="00ED7C69" w:rsidRPr="00A266EB">
        <w:rPr>
          <w:lang w:val="fr-CA"/>
        </w:rPr>
        <w:t xml:space="preserve"> d’un document </w:t>
      </w:r>
      <w:r w:rsidRPr="00A266EB">
        <w:rPr>
          <w:lang w:val="fr-CA"/>
        </w:rPr>
        <w:t xml:space="preserve">auprès d’une autre partie si le document en question est </w:t>
      </w:r>
      <w:r w:rsidR="008E23AD" w:rsidRPr="00A266EB">
        <w:rPr>
          <w:lang w:val="fr-CA"/>
        </w:rPr>
        <w:t xml:space="preserve">en la possession de leur propre client, ou </w:t>
      </w:r>
      <w:r w:rsidRPr="00A266EB">
        <w:rPr>
          <w:lang w:val="fr-CA"/>
        </w:rPr>
        <w:t>sous l’autorité ou sous la garde</w:t>
      </w:r>
      <w:r w:rsidR="008E23AD" w:rsidRPr="00A266EB">
        <w:rPr>
          <w:lang w:val="fr-CA"/>
        </w:rPr>
        <w:t xml:space="preserve"> de ce dernier.</w:t>
      </w:r>
      <w:r w:rsidRPr="00A266EB">
        <w:rPr>
          <w:lang w:val="fr-CA"/>
        </w:rPr>
        <w:t xml:space="preserve"> De plus, il n’est pas acceptable que le</w:t>
      </w:r>
      <w:r w:rsidR="00ED7C69" w:rsidRPr="00A266EB">
        <w:rPr>
          <w:lang w:val="fr-CA"/>
        </w:rPr>
        <w:t>s</w:t>
      </w:r>
      <w:r w:rsidRPr="00A266EB">
        <w:rPr>
          <w:lang w:val="fr-CA"/>
        </w:rPr>
        <w:t xml:space="preserve"> représentant</w:t>
      </w:r>
      <w:r w:rsidR="00ED7C69" w:rsidRPr="00A266EB">
        <w:rPr>
          <w:lang w:val="fr-CA"/>
        </w:rPr>
        <w:t>s</w:t>
      </w:r>
      <w:r w:rsidRPr="00A266EB">
        <w:rPr>
          <w:lang w:val="fr-CA"/>
        </w:rPr>
        <w:t xml:space="preserve"> exige</w:t>
      </w:r>
      <w:r w:rsidR="00ED7C69" w:rsidRPr="00A266EB">
        <w:rPr>
          <w:lang w:val="fr-CA"/>
        </w:rPr>
        <w:t>nt</w:t>
      </w:r>
      <w:r w:rsidRPr="00A266EB">
        <w:rPr>
          <w:lang w:val="fr-CA"/>
        </w:rPr>
        <w:t xml:space="preserve"> cette divulgation auprès d’une autre partie uniquement parce qu’il</w:t>
      </w:r>
      <w:r w:rsidR="00ED7C69" w:rsidRPr="00A266EB">
        <w:rPr>
          <w:lang w:val="fr-CA"/>
        </w:rPr>
        <w:t>s</w:t>
      </w:r>
      <w:r w:rsidRPr="00A266EB">
        <w:rPr>
          <w:lang w:val="fr-CA"/>
        </w:rPr>
        <w:t xml:space="preserve"> </w:t>
      </w:r>
      <w:r w:rsidR="00ED7C69" w:rsidRPr="00A266EB">
        <w:rPr>
          <w:lang w:val="fr-CA"/>
        </w:rPr>
        <w:t>ont</w:t>
      </w:r>
      <w:r w:rsidRPr="00A266EB">
        <w:rPr>
          <w:lang w:val="fr-CA"/>
        </w:rPr>
        <w:t xml:space="preserve"> demandé le document à </w:t>
      </w:r>
      <w:r w:rsidR="00ED7C69" w:rsidRPr="00A266EB">
        <w:rPr>
          <w:lang w:val="fr-CA"/>
        </w:rPr>
        <w:t>leur</w:t>
      </w:r>
      <w:r w:rsidRPr="00A266EB">
        <w:rPr>
          <w:lang w:val="fr-CA"/>
        </w:rPr>
        <w:t xml:space="preserve"> client, mais ne l’</w:t>
      </w:r>
      <w:r w:rsidR="00ED7C69" w:rsidRPr="00A266EB">
        <w:rPr>
          <w:lang w:val="fr-CA"/>
        </w:rPr>
        <w:t>ont</w:t>
      </w:r>
      <w:r w:rsidRPr="00A266EB">
        <w:rPr>
          <w:lang w:val="fr-CA"/>
        </w:rPr>
        <w:t xml:space="preserve"> pas reçu.</w:t>
      </w:r>
    </w:p>
    <w:p w14:paraId="2FC87509" w14:textId="77777777" w:rsidR="00590719" w:rsidRPr="00A266EB" w:rsidRDefault="00590719" w:rsidP="002A2387">
      <w:pPr>
        <w:pStyle w:val="BodyText"/>
        <w:rPr>
          <w:lang w:val="fr-CA"/>
        </w:rPr>
      </w:pPr>
    </w:p>
    <w:p w14:paraId="46A679CF" w14:textId="792E0DED" w:rsidR="002A2387" w:rsidRPr="00A266EB" w:rsidRDefault="002B5962" w:rsidP="006949EE">
      <w:pPr>
        <w:pStyle w:val="Title"/>
        <w:spacing w:after="160"/>
        <w:jc w:val="left"/>
      </w:pPr>
      <w:r w:rsidRPr="00C82DE5">
        <w:t>Questions</w:t>
      </w:r>
      <w:r w:rsidR="00C82DE5" w:rsidRPr="00C82DE5">
        <w:t xml:space="preserve"> écrites</w:t>
      </w:r>
    </w:p>
    <w:p w14:paraId="07070E29" w14:textId="206B1237" w:rsidR="002B5962" w:rsidRPr="00A266EB" w:rsidRDefault="002B5962" w:rsidP="002A2387">
      <w:pPr>
        <w:pStyle w:val="BodyText"/>
        <w:rPr>
          <w:lang w:val="fr-CA"/>
        </w:rPr>
      </w:pPr>
      <w:r w:rsidRPr="00A266EB">
        <w:rPr>
          <w:lang w:val="fr-CA"/>
        </w:rPr>
        <w:t>A</w:t>
      </w:r>
      <w:r w:rsidR="00C82DE5" w:rsidRPr="00A266EB">
        <w:rPr>
          <w:lang w:val="fr-CA"/>
        </w:rPr>
        <w:t xml:space="preserve">u lieu de solliciter la communication des documents, une partie peut soumettre </w:t>
      </w:r>
      <w:r w:rsidR="006F5F5A" w:rsidRPr="00A266EB">
        <w:rPr>
          <w:lang w:val="fr-CA"/>
        </w:rPr>
        <w:t xml:space="preserve">par écrit </w:t>
      </w:r>
      <w:r w:rsidR="00C82DE5" w:rsidRPr="00A266EB">
        <w:rPr>
          <w:lang w:val="fr-CA"/>
        </w:rPr>
        <w:t xml:space="preserve">des questions auxquelles une autre partie peut répondre. Dans certains cas, il peut s’agir d’une méthode plus efficace, concise et précise </w:t>
      </w:r>
      <w:r w:rsidR="00ED7C69" w:rsidRPr="00A266EB">
        <w:rPr>
          <w:lang w:val="fr-CA"/>
        </w:rPr>
        <w:t xml:space="preserve">à utiliser </w:t>
      </w:r>
      <w:r w:rsidR="00C82DE5" w:rsidRPr="00A266EB">
        <w:rPr>
          <w:lang w:val="fr-CA"/>
        </w:rPr>
        <w:t xml:space="preserve">pour </w:t>
      </w:r>
      <w:r w:rsidR="00ED7C69" w:rsidRPr="00A266EB">
        <w:rPr>
          <w:lang w:val="fr-CA"/>
        </w:rPr>
        <w:t xml:space="preserve">fournir </w:t>
      </w:r>
      <w:r w:rsidR="00C82DE5" w:rsidRPr="00A266EB">
        <w:rPr>
          <w:lang w:val="fr-CA"/>
        </w:rPr>
        <w:t>à une partie les renseignements qu’elle sollicite. Si toutes les parties sont d’accord, les réponses peuvent être confirmées par correspondance écrite. Autrement, les réponses devraient être fournies dans une déclaration sous serment.</w:t>
      </w:r>
    </w:p>
    <w:p w14:paraId="34B6FBDC" w14:textId="77777777" w:rsidR="002B5962" w:rsidRPr="00C82DE5" w:rsidRDefault="002B5962" w:rsidP="002B5962">
      <w:pPr>
        <w:pStyle w:val="BodyText"/>
        <w:spacing w:line="240" w:lineRule="auto"/>
        <w:rPr>
          <w:rFonts w:cs="Arial"/>
          <w:bCs/>
          <w:szCs w:val="24"/>
          <w:lang w:val="fr-CA"/>
        </w:rPr>
      </w:pPr>
    </w:p>
    <w:p w14:paraId="6AE8ECE7" w14:textId="77777777" w:rsidR="002B5962" w:rsidRPr="00C82DE5" w:rsidRDefault="002B5962" w:rsidP="002B5962">
      <w:pPr>
        <w:pStyle w:val="BodyText"/>
        <w:spacing w:before="10" w:line="240" w:lineRule="auto"/>
        <w:rPr>
          <w:rFonts w:cs="Arial"/>
          <w:bCs/>
          <w:szCs w:val="24"/>
          <w:lang w:val="fr-CA"/>
        </w:rPr>
      </w:pPr>
    </w:p>
    <w:sectPr w:rsidR="002B5962" w:rsidRPr="00C82DE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142ED" w14:textId="77777777" w:rsidR="00A40B38" w:rsidRDefault="00A40B38" w:rsidP="00760D43">
      <w:pPr>
        <w:spacing w:after="0" w:line="240" w:lineRule="auto"/>
      </w:pPr>
      <w:r>
        <w:separator/>
      </w:r>
    </w:p>
  </w:endnote>
  <w:endnote w:type="continuationSeparator" w:id="0">
    <w:p w14:paraId="09170897" w14:textId="77777777" w:rsidR="00A40B38" w:rsidRDefault="00A40B38" w:rsidP="00760D43">
      <w:pPr>
        <w:spacing w:after="0" w:line="240" w:lineRule="auto"/>
      </w:pPr>
      <w:r>
        <w:continuationSeparator/>
      </w:r>
    </w:p>
  </w:endnote>
  <w:endnote w:type="continuationNotice" w:id="1">
    <w:p w14:paraId="54443971" w14:textId="77777777" w:rsidR="00A40B38" w:rsidRDefault="00A40B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3D7E0" w14:textId="77777777" w:rsidR="00F06947" w:rsidRDefault="00F069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737609"/>
      <w:docPartObj>
        <w:docPartGallery w:val="Page Numbers (Bottom of Page)"/>
        <w:docPartUnique/>
      </w:docPartObj>
    </w:sdtPr>
    <w:sdtEndPr>
      <w:rPr>
        <w:rFonts w:ascii="Arial" w:hAnsi="Arial" w:cs="Arial"/>
        <w:noProof/>
      </w:rPr>
    </w:sdtEndPr>
    <w:sdtContent>
      <w:p w14:paraId="28548647" w14:textId="764DE826" w:rsidR="00F06947" w:rsidRPr="00F06947" w:rsidRDefault="00F06947">
        <w:pPr>
          <w:pStyle w:val="Footer"/>
          <w:jc w:val="right"/>
          <w:rPr>
            <w:rFonts w:ascii="Arial" w:hAnsi="Arial" w:cs="Arial"/>
          </w:rPr>
        </w:pPr>
        <w:r w:rsidRPr="00F06947">
          <w:rPr>
            <w:rFonts w:ascii="Arial" w:hAnsi="Arial" w:cs="Arial"/>
          </w:rPr>
          <w:fldChar w:fldCharType="begin"/>
        </w:r>
        <w:r w:rsidRPr="00F06947">
          <w:rPr>
            <w:rFonts w:ascii="Arial" w:hAnsi="Arial" w:cs="Arial"/>
          </w:rPr>
          <w:instrText xml:space="preserve"> PAGE   \* MERGEFORMAT </w:instrText>
        </w:r>
        <w:r w:rsidRPr="00F06947">
          <w:rPr>
            <w:rFonts w:ascii="Arial" w:hAnsi="Arial" w:cs="Arial"/>
          </w:rPr>
          <w:fldChar w:fldCharType="separate"/>
        </w:r>
        <w:r w:rsidRPr="00F06947">
          <w:rPr>
            <w:rFonts w:ascii="Arial" w:hAnsi="Arial" w:cs="Arial"/>
            <w:noProof/>
          </w:rPr>
          <w:t>2</w:t>
        </w:r>
        <w:r w:rsidRPr="00F06947">
          <w:rPr>
            <w:rFonts w:ascii="Arial" w:hAnsi="Arial" w:cs="Arial"/>
            <w:noProof/>
          </w:rPr>
          <w:fldChar w:fldCharType="end"/>
        </w:r>
      </w:p>
    </w:sdtContent>
  </w:sdt>
  <w:p w14:paraId="413DE58B" w14:textId="47266DF1" w:rsidR="00A40B38" w:rsidRDefault="00A40B38">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8E1FF" w14:textId="77777777" w:rsidR="00F06947" w:rsidRDefault="00F069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7E565" w14:textId="77777777" w:rsidR="00A40B38" w:rsidRDefault="00A40B3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500665"/>
      <w:docPartObj>
        <w:docPartGallery w:val="Page Numbers (Bottom of Page)"/>
        <w:docPartUnique/>
      </w:docPartObj>
    </w:sdtPr>
    <w:sdtEndPr>
      <w:rPr>
        <w:noProof/>
      </w:rPr>
    </w:sdtEndPr>
    <w:sdtContent>
      <w:p w14:paraId="796D9BA8" w14:textId="0759DB6A" w:rsidR="00F06947" w:rsidRDefault="00F06947">
        <w:pPr>
          <w:pStyle w:val="Footer"/>
          <w:jc w:val="right"/>
        </w:pPr>
        <w:r w:rsidRPr="00F06947">
          <w:rPr>
            <w:rFonts w:ascii="Arial" w:hAnsi="Arial" w:cs="Arial"/>
          </w:rPr>
          <w:fldChar w:fldCharType="begin"/>
        </w:r>
        <w:r w:rsidRPr="00F06947">
          <w:rPr>
            <w:rFonts w:ascii="Arial" w:hAnsi="Arial" w:cs="Arial"/>
          </w:rPr>
          <w:instrText xml:space="preserve"> PAGE   \* MERGEFORMAT </w:instrText>
        </w:r>
        <w:r w:rsidRPr="00F06947">
          <w:rPr>
            <w:rFonts w:ascii="Arial" w:hAnsi="Arial" w:cs="Arial"/>
          </w:rPr>
          <w:fldChar w:fldCharType="separate"/>
        </w:r>
        <w:r w:rsidRPr="00F06947">
          <w:rPr>
            <w:rFonts w:ascii="Arial" w:hAnsi="Arial" w:cs="Arial"/>
            <w:noProof/>
          </w:rPr>
          <w:t>2</w:t>
        </w:r>
        <w:r w:rsidRPr="00F06947">
          <w:rPr>
            <w:rFonts w:ascii="Arial" w:hAnsi="Arial" w:cs="Arial"/>
            <w:noProof/>
          </w:rPr>
          <w:fldChar w:fldCharType="end"/>
        </w:r>
      </w:p>
    </w:sdtContent>
  </w:sdt>
  <w:p w14:paraId="0C2E53F1" w14:textId="77777777" w:rsidR="00A40B38" w:rsidRDefault="00A40B3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7744F" w14:textId="77777777" w:rsidR="00A40B38" w:rsidRDefault="00A40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7398F" w14:textId="77777777" w:rsidR="00A40B38" w:rsidRDefault="00A40B38" w:rsidP="00760D43">
      <w:pPr>
        <w:spacing w:after="0" w:line="240" w:lineRule="auto"/>
      </w:pPr>
      <w:r>
        <w:separator/>
      </w:r>
    </w:p>
  </w:footnote>
  <w:footnote w:type="continuationSeparator" w:id="0">
    <w:p w14:paraId="505CF4E7" w14:textId="77777777" w:rsidR="00A40B38" w:rsidRDefault="00A40B38" w:rsidP="00760D43">
      <w:pPr>
        <w:spacing w:after="0" w:line="240" w:lineRule="auto"/>
      </w:pPr>
      <w:r>
        <w:continuationSeparator/>
      </w:r>
    </w:p>
  </w:footnote>
  <w:footnote w:type="continuationNotice" w:id="1">
    <w:p w14:paraId="4B1DBF90" w14:textId="77777777" w:rsidR="00A40B38" w:rsidRDefault="00A40B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3A05E" w14:textId="77777777" w:rsidR="00F06947" w:rsidRDefault="00F069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7D341" w14:textId="77777777" w:rsidR="00F06947" w:rsidRDefault="00F069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DC6E8" w14:textId="77777777" w:rsidR="00F06947" w:rsidRDefault="00F069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C10C0" w14:textId="77777777" w:rsidR="00A40B38" w:rsidRDefault="00A40B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B50C" w14:textId="77777777" w:rsidR="00A40B38" w:rsidRDefault="00A40B3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C5311" w14:textId="77777777" w:rsidR="00A40B38" w:rsidRDefault="00A40B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A2493"/>
    <w:multiLevelType w:val="hybridMultilevel"/>
    <w:tmpl w:val="852C6DF8"/>
    <w:lvl w:ilvl="0" w:tplc="10090017">
      <w:start w:val="1"/>
      <w:numFmt w:val="lowerLetter"/>
      <w:lvlText w:val="%1)"/>
      <w:lvlJc w:val="lef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 w15:restartNumberingAfterBreak="0">
    <w:nsid w:val="19C41E6B"/>
    <w:multiLevelType w:val="hybridMultilevel"/>
    <w:tmpl w:val="2B2CB2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C8C707E"/>
    <w:multiLevelType w:val="hybridMultilevel"/>
    <w:tmpl w:val="AF0861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E3C1CBA"/>
    <w:multiLevelType w:val="multilevel"/>
    <w:tmpl w:val="643246FA"/>
    <w:lvl w:ilvl="0">
      <w:start w:val="29"/>
      <w:numFmt w:val="decimal"/>
      <w:lvlText w:val="%1"/>
      <w:lvlJc w:val="left"/>
      <w:pPr>
        <w:ind w:left="634" w:hanging="535"/>
      </w:pPr>
      <w:rPr>
        <w:rFonts w:hint="default"/>
      </w:rPr>
    </w:lvl>
    <w:lvl w:ilvl="1">
      <w:start w:val="2"/>
      <w:numFmt w:val="decimal"/>
      <w:lvlText w:val="%1.%2"/>
      <w:lvlJc w:val="left"/>
      <w:pPr>
        <w:ind w:left="634" w:hanging="535"/>
      </w:pPr>
      <w:rPr>
        <w:rFonts w:ascii="Arial" w:eastAsia="Arial" w:hAnsi="Arial" w:cs="Arial" w:hint="default"/>
        <w:w w:val="99"/>
        <w:sz w:val="24"/>
        <w:szCs w:val="24"/>
      </w:rPr>
    </w:lvl>
    <w:lvl w:ilvl="2">
      <w:numFmt w:val="bullet"/>
      <w:lvlText w:val=""/>
      <w:lvlJc w:val="left"/>
      <w:pPr>
        <w:ind w:left="880" w:hanging="360"/>
      </w:pPr>
      <w:rPr>
        <w:rFonts w:ascii="Symbol" w:eastAsia="Symbol" w:hAnsi="Symbol" w:cs="Symbol" w:hint="default"/>
        <w:w w:val="100"/>
        <w:sz w:val="24"/>
        <w:szCs w:val="24"/>
      </w:rPr>
    </w:lvl>
    <w:lvl w:ilvl="3">
      <w:numFmt w:val="bullet"/>
      <w:lvlText w:val="•"/>
      <w:lvlJc w:val="left"/>
      <w:pPr>
        <w:ind w:left="2746" w:hanging="360"/>
      </w:pPr>
      <w:rPr>
        <w:rFonts w:hint="default"/>
      </w:rPr>
    </w:lvl>
    <w:lvl w:ilvl="4">
      <w:numFmt w:val="bullet"/>
      <w:lvlText w:val="•"/>
      <w:lvlJc w:val="left"/>
      <w:pPr>
        <w:ind w:left="3680" w:hanging="360"/>
      </w:pPr>
      <w:rPr>
        <w:rFonts w:hint="default"/>
      </w:rPr>
    </w:lvl>
    <w:lvl w:ilvl="5">
      <w:numFmt w:val="bullet"/>
      <w:lvlText w:val="•"/>
      <w:lvlJc w:val="left"/>
      <w:pPr>
        <w:ind w:left="4613" w:hanging="360"/>
      </w:pPr>
      <w:rPr>
        <w:rFonts w:hint="default"/>
      </w:rPr>
    </w:lvl>
    <w:lvl w:ilvl="6">
      <w:numFmt w:val="bullet"/>
      <w:lvlText w:val="•"/>
      <w:lvlJc w:val="left"/>
      <w:pPr>
        <w:ind w:left="5546" w:hanging="360"/>
      </w:pPr>
      <w:rPr>
        <w:rFonts w:hint="default"/>
      </w:rPr>
    </w:lvl>
    <w:lvl w:ilvl="7">
      <w:numFmt w:val="bullet"/>
      <w:lvlText w:val="•"/>
      <w:lvlJc w:val="left"/>
      <w:pPr>
        <w:ind w:left="6480" w:hanging="360"/>
      </w:pPr>
      <w:rPr>
        <w:rFonts w:hint="default"/>
      </w:rPr>
    </w:lvl>
    <w:lvl w:ilvl="8">
      <w:numFmt w:val="bullet"/>
      <w:lvlText w:val="•"/>
      <w:lvlJc w:val="left"/>
      <w:pPr>
        <w:ind w:left="7413" w:hanging="360"/>
      </w:pPr>
      <w:rPr>
        <w:rFonts w:hint="default"/>
      </w:rPr>
    </w:lvl>
  </w:abstractNum>
  <w:abstractNum w:abstractNumId="4" w15:restartNumberingAfterBreak="0">
    <w:nsid w:val="58C539DA"/>
    <w:multiLevelType w:val="hybridMultilevel"/>
    <w:tmpl w:val="E2A677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7043FCB"/>
    <w:multiLevelType w:val="hybridMultilevel"/>
    <w:tmpl w:val="3246FC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8DE38E2"/>
    <w:multiLevelType w:val="hybridMultilevel"/>
    <w:tmpl w:val="0046F2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ADE7794"/>
    <w:multiLevelType w:val="hybridMultilevel"/>
    <w:tmpl w:val="90DCD9C4"/>
    <w:lvl w:ilvl="0" w:tplc="B288BE2A">
      <w:numFmt w:val="bullet"/>
      <w:lvlText w:val=""/>
      <w:lvlJc w:val="left"/>
      <w:pPr>
        <w:ind w:left="820" w:hanging="360"/>
      </w:pPr>
      <w:rPr>
        <w:rFonts w:ascii="Symbol" w:eastAsia="Symbol" w:hAnsi="Symbol" w:cs="Symbol" w:hint="default"/>
        <w:w w:val="100"/>
        <w:sz w:val="24"/>
        <w:szCs w:val="24"/>
      </w:rPr>
    </w:lvl>
    <w:lvl w:ilvl="1" w:tplc="02AE1EBC">
      <w:numFmt w:val="bullet"/>
      <w:lvlText w:val="o"/>
      <w:lvlJc w:val="left"/>
      <w:pPr>
        <w:ind w:left="1540" w:hanging="360"/>
      </w:pPr>
      <w:rPr>
        <w:rFonts w:ascii="Courier New" w:eastAsia="Courier New" w:hAnsi="Courier New" w:cs="Courier New" w:hint="default"/>
        <w:w w:val="100"/>
        <w:sz w:val="24"/>
        <w:szCs w:val="24"/>
      </w:rPr>
    </w:lvl>
    <w:lvl w:ilvl="2" w:tplc="5E4049DC">
      <w:numFmt w:val="bullet"/>
      <w:lvlText w:val="•"/>
      <w:lvlJc w:val="left"/>
      <w:pPr>
        <w:ind w:left="2400" w:hanging="360"/>
      </w:pPr>
      <w:rPr>
        <w:rFonts w:hint="default"/>
      </w:rPr>
    </w:lvl>
    <w:lvl w:ilvl="3" w:tplc="FE08121C">
      <w:numFmt w:val="bullet"/>
      <w:lvlText w:val="•"/>
      <w:lvlJc w:val="left"/>
      <w:pPr>
        <w:ind w:left="3260" w:hanging="360"/>
      </w:pPr>
      <w:rPr>
        <w:rFonts w:hint="default"/>
      </w:rPr>
    </w:lvl>
    <w:lvl w:ilvl="4" w:tplc="2EE0A894">
      <w:numFmt w:val="bullet"/>
      <w:lvlText w:val="•"/>
      <w:lvlJc w:val="left"/>
      <w:pPr>
        <w:ind w:left="4120" w:hanging="360"/>
      </w:pPr>
      <w:rPr>
        <w:rFonts w:hint="default"/>
      </w:rPr>
    </w:lvl>
    <w:lvl w:ilvl="5" w:tplc="D33E688A">
      <w:numFmt w:val="bullet"/>
      <w:lvlText w:val="•"/>
      <w:lvlJc w:val="left"/>
      <w:pPr>
        <w:ind w:left="4980" w:hanging="360"/>
      </w:pPr>
      <w:rPr>
        <w:rFonts w:hint="default"/>
      </w:rPr>
    </w:lvl>
    <w:lvl w:ilvl="6" w:tplc="E842DC3C">
      <w:numFmt w:val="bullet"/>
      <w:lvlText w:val="•"/>
      <w:lvlJc w:val="left"/>
      <w:pPr>
        <w:ind w:left="5840" w:hanging="360"/>
      </w:pPr>
      <w:rPr>
        <w:rFonts w:hint="default"/>
      </w:rPr>
    </w:lvl>
    <w:lvl w:ilvl="7" w:tplc="A96E7584">
      <w:numFmt w:val="bullet"/>
      <w:lvlText w:val="•"/>
      <w:lvlJc w:val="left"/>
      <w:pPr>
        <w:ind w:left="6700" w:hanging="360"/>
      </w:pPr>
      <w:rPr>
        <w:rFonts w:hint="default"/>
      </w:rPr>
    </w:lvl>
    <w:lvl w:ilvl="8" w:tplc="AA88C12C">
      <w:numFmt w:val="bullet"/>
      <w:lvlText w:val="•"/>
      <w:lvlJc w:val="left"/>
      <w:pPr>
        <w:ind w:left="7560" w:hanging="360"/>
      </w:pPr>
      <w:rPr>
        <w:rFonts w:hint="default"/>
      </w:rPr>
    </w:lvl>
  </w:abstractNum>
  <w:abstractNum w:abstractNumId="8" w15:restartNumberingAfterBreak="0">
    <w:nsid w:val="7E82125E"/>
    <w:multiLevelType w:val="hybridMultilevel"/>
    <w:tmpl w:val="849E45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5"/>
  </w:num>
  <w:num w:numId="5">
    <w:abstractNumId w:val="2"/>
  </w:num>
  <w:num w:numId="6">
    <w:abstractNumId w:val="0"/>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B8E"/>
    <w:rsid w:val="00034438"/>
    <w:rsid w:val="0003744C"/>
    <w:rsid w:val="000443A4"/>
    <w:rsid w:val="00051104"/>
    <w:rsid w:val="00054840"/>
    <w:rsid w:val="00056154"/>
    <w:rsid w:val="00073160"/>
    <w:rsid w:val="00081E5B"/>
    <w:rsid w:val="0009342D"/>
    <w:rsid w:val="00101499"/>
    <w:rsid w:val="00127756"/>
    <w:rsid w:val="00173E53"/>
    <w:rsid w:val="00191CF1"/>
    <w:rsid w:val="00192188"/>
    <w:rsid w:val="001C3636"/>
    <w:rsid w:val="001E0065"/>
    <w:rsid w:val="00202AE6"/>
    <w:rsid w:val="0024054C"/>
    <w:rsid w:val="0024775B"/>
    <w:rsid w:val="00274682"/>
    <w:rsid w:val="0029495F"/>
    <w:rsid w:val="00296445"/>
    <w:rsid w:val="002976C5"/>
    <w:rsid w:val="002A2387"/>
    <w:rsid w:val="002A4CA0"/>
    <w:rsid w:val="002B5962"/>
    <w:rsid w:val="002B6211"/>
    <w:rsid w:val="002D094B"/>
    <w:rsid w:val="002D18A3"/>
    <w:rsid w:val="002E2C48"/>
    <w:rsid w:val="002E550B"/>
    <w:rsid w:val="00332F9B"/>
    <w:rsid w:val="003347F3"/>
    <w:rsid w:val="00354F77"/>
    <w:rsid w:val="00382BBB"/>
    <w:rsid w:val="00387B01"/>
    <w:rsid w:val="00391818"/>
    <w:rsid w:val="00392343"/>
    <w:rsid w:val="003C62FB"/>
    <w:rsid w:val="003D474D"/>
    <w:rsid w:val="003E6B21"/>
    <w:rsid w:val="00427DD4"/>
    <w:rsid w:val="00475DD7"/>
    <w:rsid w:val="0049162B"/>
    <w:rsid w:val="00494715"/>
    <w:rsid w:val="004C25CE"/>
    <w:rsid w:val="004E32E0"/>
    <w:rsid w:val="004E518E"/>
    <w:rsid w:val="004F4CB6"/>
    <w:rsid w:val="0051321A"/>
    <w:rsid w:val="00541639"/>
    <w:rsid w:val="00551183"/>
    <w:rsid w:val="00553887"/>
    <w:rsid w:val="00574F90"/>
    <w:rsid w:val="00580FF9"/>
    <w:rsid w:val="00590719"/>
    <w:rsid w:val="005E34FD"/>
    <w:rsid w:val="005E713E"/>
    <w:rsid w:val="00600800"/>
    <w:rsid w:val="00606757"/>
    <w:rsid w:val="00660131"/>
    <w:rsid w:val="006662E7"/>
    <w:rsid w:val="00667028"/>
    <w:rsid w:val="00683964"/>
    <w:rsid w:val="00686884"/>
    <w:rsid w:val="00686DCF"/>
    <w:rsid w:val="006949EE"/>
    <w:rsid w:val="006E600B"/>
    <w:rsid w:val="006F14DA"/>
    <w:rsid w:val="006F5F5A"/>
    <w:rsid w:val="00717EB2"/>
    <w:rsid w:val="0072540F"/>
    <w:rsid w:val="0072693B"/>
    <w:rsid w:val="007269F0"/>
    <w:rsid w:val="007307A7"/>
    <w:rsid w:val="007418A4"/>
    <w:rsid w:val="007471FB"/>
    <w:rsid w:val="00760D43"/>
    <w:rsid w:val="007640C3"/>
    <w:rsid w:val="0078415B"/>
    <w:rsid w:val="0079459D"/>
    <w:rsid w:val="007956BA"/>
    <w:rsid w:val="007C46A4"/>
    <w:rsid w:val="007D343F"/>
    <w:rsid w:val="007D6012"/>
    <w:rsid w:val="00811ED0"/>
    <w:rsid w:val="0083266F"/>
    <w:rsid w:val="00833E01"/>
    <w:rsid w:val="00865C36"/>
    <w:rsid w:val="00873198"/>
    <w:rsid w:val="00894BA5"/>
    <w:rsid w:val="0089575F"/>
    <w:rsid w:val="00895C5D"/>
    <w:rsid w:val="008A398C"/>
    <w:rsid w:val="008B09DB"/>
    <w:rsid w:val="008D70C6"/>
    <w:rsid w:val="008E1AF0"/>
    <w:rsid w:val="008E23AD"/>
    <w:rsid w:val="008F265F"/>
    <w:rsid w:val="008F3876"/>
    <w:rsid w:val="00916E18"/>
    <w:rsid w:val="00955827"/>
    <w:rsid w:val="0096274D"/>
    <w:rsid w:val="00974A4C"/>
    <w:rsid w:val="00984A4D"/>
    <w:rsid w:val="009A31C9"/>
    <w:rsid w:val="009B7D6C"/>
    <w:rsid w:val="009C58D6"/>
    <w:rsid w:val="009E47AE"/>
    <w:rsid w:val="00A05DE7"/>
    <w:rsid w:val="00A062BC"/>
    <w:rsid w:val="00A101B8"/>
    <w:rsid w:val="00A266EB"/>
    <w:rsid w:val="00A40B38"/>
    <w:rsid w:val="00A6147B"/>
    <w:rsid w:val="00A97F8C"/>
    <w:rsid w:val="00AC276E"/>
    <w:rsid w:val="00AD0CB6"/>
    <w:rsid w:val="00B127C6"/>
    <w:rsid w:val="00B13C38"/>
    <w:rsid w:val="00B14FC9"/>
    <w:rsid w:val="00B64403"/>
    <w:rsid w:val="00B8041C"/>
    <w:rsid w:val="00B81458"/>
    <w:rsid w:val="00BC301D"/>
    <w:rsid w:val="00BF6B23"/>
    <w:rsid w:val="00C00FC0"/>
    <w:rsid w:val="00C023A0"/>
    <w:rsid w:val="00C03AAD"/>
    <w:rsid w:val="00C15C9E"/>
    <w:rsid w:val="00C82DE5"/>
    <w:rsid w:val="00C915EF"/>
    <w:rsid w:val="00CC6618"/>
    <w:rsid w:val="00CE3345"/>
    <w:rsid w:val="00CF29D1"/>
    <w:rsid w:val="00D04247"/>
    <w:rsid w:val="00D0619F"/>
    <w:rsid w:val="00D439E2"/>
    <w:rsid w:val="00D663F0"/>
    <w:rsid w:val="00D85710"/>
    <w:rsid w:val="00D9799C"/>
    <w:rsid w:val="00DB2E0B"/>
    <w:rsid w:val="00DB766C"/>
    <w:rsid w:val="00DD5544"/>
    <w:rsid w:val="00DE3BF9"/>
    <w:rsid w:val="00DE588F"/>
    <w:rsid w:val="00DE5A29"/>
    <w:rsid w:val="00E01B3A"/>
    <w:rsid w:val="00E07F78"/>
    <w:rsid w:val="00E10DF9"/>
    <w:rsid w:val="00E31330"/>
    <w:rsid w:val="00E46B43"/>
    <w:rsid w:val="00E915A8"/>
    <w:rsid w:val="00EA2E23"/>
    <w:rsid w:val="00EB6663"/>
    <w:rsid w:val="00EC0B8E"/>
    <w:rsid w:val="00EC2E3D"/>
    <w:rsid w:val="00ED60EA"/>
    <w:rsid w:val="00ED7C69"/>
    <w:rsid w:val="00EE5367"/>
    <w:rsid w:val="00EE6A7E"/>
    <w:rsid w:val="00F04E9E"/>
    <w:rsid w:val="00F06947"/>
    <w:rsid w:val="00F3465F"/>
    <w:rsid w:val="00F3715E"/>
    <w:rsid w:val="00F522B6"/>
    <w:rsid w:val="00F706E4"/>
    <w:rsid w:val="00F73808"/>
    <w:rsid w:val="00F81A49"/>
    <w:rsid w:val="00F87F99"/>
    <w:rsid w:val="00FA4875"/>
    <w:rsid w:val="00FA4DC8"/>
    <w:rsid w:val="00FD05E9"/>
    <w:rsid w:val="00FF5C5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615A752"/>
  <w15:docId w15:val="{9E596A15-99D2-452B-8596-8EDCE43D1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3160"/>
    <w:pPr>
      <w:spacing w:after="0"/>
      <w:jc w:val="both"/>
      <w:outlineLvl w:val="0"/>
    </w:pPr>
    <w:rPr>
      <w:rFonts w:ascii="Arial" w:hAnsi="Arial" w:cs="Arial"/>
      <w:b/>
      <w:sz w:val="28"/>
      <w:szCs w:val="24"/>
    </w:rPr>
  </w:style>
  <w:style w:type="paragraph" w:styleId="Heading2">
    <w:name w:val="heading 2"/>
    <w:basedOn w:val="Normal"/>
    <w:next w:val="Normal"/>
    <w:link w:val="Heading2Char"/>
    <w:uiPriority w:val="9"/>
    <w:unhideWhenUsed/>
    <w:qFormat/>
    <w:rsid w:val="0089575F"/>
    <w:pPr>
      <w:keepNext/>
      <w:keepLines/>
      <w:spacing w:after="0"/>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2A2387"/>
    <w:pPr>
      <w:keepNext/>
      <w:keepLines/>
      <w:spacing w:after="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1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8A4"/>
    <w:rPr>
      <w:rFonts w:ascii="Tahoma" w:hAnsi="Tahoma" w:cs="Tahoma"/>
      <w:sz w:val="16"/>
      <w:szCs w:val="16"/>
    </w:rPr>
  </w:style>
  <w:style w:type="character" w:styleId="CommentReference">
    <w:name w:val="annotation reference"/>
    <w:basedOn w:val="DefaultParagraphFont"/>
    <w:uiPriority w:val="99"/>
    <w:semiHidden/>
    <w:unhideWhenUsed/>
    <w:rsid w:val="002976C5"/>
    <w:rPr>
      <w:sz w:val="16"/>
      <w:szCs w:val="16"/>
    </w:rPr>
  </w:style>
  <w:style w:type="paragraph" w:styleId="CommentText">
    <w:name w:val="annotation text"/>
    <w:basedOn w:val="Normal"/>
    <w:link w:val="CommentTextChar"/>
    <w:uiPriority w:val="99"/>
    <w:semiHidden/>
    <w:unhideWhenUsed/>
    <w:rsid w:val="002976C5"/>
    <w:pPr>
      <w:spacing w:line="240" w:lineRule="auto"/>
    </w:pPr>
    <w:rPr>
      <w:sz w:val="20"/>
      <w:szCs w:val="20"/>
    </w:rPr>
  </w:style>
  <w:style w:type="character" w:customStyle="1" w:styleId="CommentTextChar">
    <w:name w:val="Comment Text Char"/>
    <w:basedOn w:val="DefaultParagraphFont"/>
    <w:link w:val="CommentText"/>
    <w:uiPriority w:val="99"/>
    <w:semiHidden/>
    <w:rsid w:val="002976C5"/>
    <w:rPr>
      <w:sz w:val="20"/>
      <w:szCs w:val="20"/>
    </w:rPr>
  </w:style>
  <w:style w:type="paragraph" w:styleId="CommentSubject">
    <w:name w:val="annotation subject"/>
    <w:basedOn w:val="CommentText"/>
    <w:next w:val="CommentText"/>
    <w:link w:val="CommentSubjectChar"/>
    <w:uiPriority w:val="99"/>
    <w:semiHidden/>
    <w:unhideWhenUsed/>
    <w:rsid w:val="002976C5"/>
    <w:rPr>
      <w:b/>
      <w:bCs/>
    </w:rPr>
  </w:style>
  <w:style w:type="character" w:customStyle="1" w:styleId="CommentSubjectChar">
    <w:name w:val="Comment Subject Char"/>
    <w:basedOn w:val="CommentTextChar"/>
    <w:link w:val="CommentSubject"/>
    <w:uiPriority w:val="99"/>
    <w:semiHidden/>
    <w:rsid w:val="002976C5"/>
    <w:rPr>
      <w:b/>
      <w:bCs/>
      <w:sz w:val="20"/>
      <w:szCs w:val="20"/>
    </w:rPr>
  </w:style>
  <w:style w:type="paragraph" w:styleId="Header">
    <w:name w:val="header"/>
    <w:basedOn w:val="Normal"/>
    <w:link w:val="HeaderChar"/>
    <w:uiPriority w:val="99"/>
    <w:unhideWhenUsed/>
    <w:rsid w:val="00760D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D43"/>
  </w:style>
  <w:style w:type="paragraph" w:styleId="Footer">
    <w:name w:val="footer"/>
    <w:basedOn w:val="Normal"/>
    <w:link w:val="FooterChar"/>
    <w:uiPriority w:val="99"/>
    <w:unhideWhenUsed/>
    <w:rsid w:val="00760D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D43"/>
  </w:style>
  <w:style w:type="paragraph" w:styleId="BodyTextIndent2">
    <w:name w:val="Body Text Indent 2"/>
    <w:basedOn w:val="Normal"/>
    <w:link w:val="BodyTextIndent2Char"/>
    <w:rsid w:val="00974A4C"/>
    <w:pPr>
      <w:spacing w:after="0" w:line="240" w:lineRule="auto"/>
      <w:ind w:left="1440"/>
    </w:pPr>
    <w:rPr>
      <w:rFonts w:ascii="Arial" w:eastAsia="Times New Roman" w:hAnsi="Arial" w:cs="Times New Roman"/>
      <w:sz w:val="20"/>
      <w:szCs w:val="20"/>
      <w:lang w:val="en-US"/>
    </w:rPr>
  </w:style>
  <w:style w:type="character" w:customStyle="1" w:styleId="BodyTextIndent2Char">
    <w:name w:val="Body Text Indent 2 Char"/>
    <w:basedOn w:val="DefaultParagraphFont"/>
    <w:link w:val="BodyTextIndent2"/>
    <w:rsid w:val="00974A4C"/>
    <w:rPr>
      <w:rFonts w:ascii="Arial" w:eastAsia="Times New Roman" w:hAnsi="Arial" w:cs="Times New Roman"/>
      <w:sz w:val="20"/>
      <w:szCs w:val="20"/>
      <w:lang w:val="en-US"/>
    </w:rPr>
  </w:style>
  <w:style w:type="paragraph" w:styleId="Title">
    <w:name w:val="Title"/>
    <w:basedOn w:val="BodyTextIndent2"/>
    <w:next w:val="Normal"/>
    <w:link w:val="TitleChar"/>
    <w:uiPriority w:val="10"/>
    <w:qFormat/>
    <w:rsid w:val="00F522B6"/>
    <w:pPr>
      <w:ind w:left="0"/>
      <w:jc w:val="center"/>
    </w:pPr>
    <w:rPr>
      <w:rFonts w:cs="Arial"/>
      <w:b/>
      <w:color w:val="000000"/>
      <w:spacing w:val="20"/>
      <w:sz w:val="24"/>
      <w:szCs w:val="24"/>
      <w:lang w:val="en"/>
    </w:rPr>
  </w:style>
  <w:style w:type="character" w:customStyle="1" w:styleId="TitleChar">
    <w:name w:val="Title Char"/>
    <w:basedOn w:val="DefaultParagraphFont"/>
    <w:link w:val="Title"/>
    <w:uiPriority w:val="10"/>
    <w:rsid w:val="00F522B6"/>
    <w:rPr>
      <w:rFonts w:ascii="Arial" w:eastAsia="Times New Roman" w:hAnsi="Arial" w:cs="Arial"/>
      <w:b/>
      <w:color w:val="000000"/>
      <w:spacing w:val="20"/>
      <w:sz w:val="24"/>
      <w:szCs w:val="24"/>
      <w:lang w:val="en"/>
    </w:rPr>
  </w:style>
  <w:style w:type="character" w:customStyle="1" w:styleId="Heading1Char">
    <w:name w:val="Heading 1 Char"/>
    <w:basedOn w:val="DefaultParagraphFont"/>
    <w:link w:val="Heading1"/>
    <w:uiPriority w:val="9"/>
    <w:rsid w:val="00073160"/>
    <w:rPr>
      <w:rFonts w:ascii="Arial" w:hAnsi="Arial" w:cs="Arial"/>
      <w:b/>
      <w:sz w:val="28"/>
      <w:szCs w:val="24"/>
    </w:rPr>
  </w:style>
  <w:style w:type="paragraph" w:styleId="ListParagraph">
    <w:name w:val="List Paragraph"/>
    <w:basedOn w:val="Normal"/>
    <w:uiPriority w:val="1"/>
    <w:qFormat/>
    <w:rsid w:val="00F3715E"/>
    <w:pPr>
      <w:ind w:left="720"/>
      <w:contextualSpacing/>
    </w:pPr>
  </w:style>
  <w:style w:type="paragraph" w:styleId="BodyTextIndent">
    <w:name w:val="Body Text Indent"/>
    <w:basedOn w:val="Normal"/>
    <w:link w:val="BodyTextIndentChar"/>
    <w:uiPriority w:val="99"/>
    <w:semiHidden/>
    <w:unhideWhenUsed/>
    <w:rsid w:val="00F81A49"/>
    <w:pPr>
      <w:spacing w:after="120"/>
      <w:ind w:left="283"/>
    </w:pPr>
  </w:style>
  <w:style w:type="character" w:customStyle="1" w:styleId="BodyTextIndentChar">
    <w:name w:val="Body Text Indent Char"/>
    <w:basedOn w:val="DefaultParagraphFont"/>
    <w:link w:val="BodyTextIndent"/>
    <w:uiPriority w:val="99"/>
    <w:semiHidden/>
    <w:rsid w:val="00F81A49"/>
  </w:style>
  <w:style w:type="character" w:styleId="Hyperlink">
    <w:name w:val="Hyperlink"/>
    <w:basedOn w:val="DefaultParagraphFont"/>
    <w:uiPriority w:val="99"/>
    <w:unhideWhenUsed/>
    <w:rsid w:val="001E0065"/>
    <w:rPr>
      <w:color w:val="0000FF" w:themeColor="hyperlink"/>
      <w:u w:val="single"/>
    </w:rPr>
  </w:style>
  <w:style w:type="paragraph" w:styleId="BodyText">
    <w:name w:val="Body Text"/>
    <w:basedOn w:val="Normal"/>
    <w:link w:val="BodyTextChar"/>
    <w:uiPriority w:val="1"/>
    <w:unhideWhenUsed/>
    <w:qFormat/>
    <w:rsid w:val="00C915EF"/>
    <w:pPr>
      <w:spacing w:after="0"/>
    </w:pPr>
    <w:rPr>
      <w:rFonts w:ascii="Arial" w:hAnsi="Arial"/>
      <w:sz w:val="24"/>
    </w:rPr>
  </w:style>
  <w:style w:type="character" w:customStyle="1" w:styleId="BodyTextChar">
    <w:name w:val="Body Text Char"/>
    <w:basedOn w:val="DefaultParagraphFont"/>
    <w:link w:val="BodyText"/>
    <w:uiPriority w:val="1"/>
    <w:rsid w:val="00C915EF"/>
    <w:rPr>
      <w:rFonts w:ascii="Arial" w:hAnsi="Arial"/>
      <w:sz w:val="24"/>
    </w:rPr>
  </w:style>
  <w:style w:type="paragraph" w:customStyle="1" w:styleId="TableParagraph">
    <w:name w:val="Table Paragraph"/>
    <w:basedOn w:val="Normal"/>
    <w:uiPriority w:val="1"/>
    <w:qFormat/>
    <w:rsid w:val="002B5962"/>
    <w:pPr>
      <w:widowControl w:val="0"/>
      <w:autoSpaceDE w:val="0"/>
      <w:autoSpaceDN w:val="0"/>
      <w:spacing w:after="0" w:line="240" w:lineRule="auto"/>
    </w:pPr>
    <w:rPr>
      <w:rFonts w:ascii="Arial" w:eastAsia="Arial" w:hAnsi="Arial" w:cs="Arial"/>
      <w:lang w:val="en-US"/>
    </w:rPr>
  </w:style>
  <w:style w:type="character" w:customStyle="1" w:styleId="Heading2Char">
    <w:name w:val="Heading 2 Char"/>
    <w:basedOn w:val="DefaultParagraphFont"/>
    <w:link w:val="Heading2"/>
    <w:uiPriority w:val="9"/>
    <w:rsid w:val="0089575F"/>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2A2387"/>
    <w:rPr>
      <w:rFonts w:ascii="Arial" w:eastAsiaTheme="majorEastAsia" w:hAnsi="Arial"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15980">
      <w:bodyDiv w:val="1"/>
      <w:marLeft w:val="0"/>
      <w:marRight w:val="0"/>
      <w:marTop w:val="0"/>
      <w:marBottom w:val="0"/>
      <w:divBdr>
        <w:top w:val="none" w:sz="0" w:space="0" w:color="auto"/>
        <w:left w:val="none" w:sz="0" w:space="0" w:color="auto"/>
        <w:bottom w:val="none" w:sz="0" w:space="0" w:color="auto"/>
        <w:right w:val="none" w:sz="0" w:space="0" w:color="auto"/>
      </w:divBdr>
    </w:div>
    <w:div w:id="198076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png@01D71748.05C8AA40"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2347</Words>
  <Characters>13030</Characters>
  <Application>Microsoft Office Word</Application>
  <DocSecurity>0</DocSecurity>
  <Lines>265</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How to interpret SOE general proceedings French</vt:lpstr>
      <vt:lpstr/>
    </vt:vector>
  </TitlesOfParts>
  <Company>MGS</Company>
  <LinksUpToDate>false</LinksUpToDate>
  <CharactersWithSpaces>15255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interpret SOE general proceedings French</dc:title>
  <dc:creator>Cowan, Benson (MAG)</dc:creator>
  <cp:keywords>CRÉF, Directive de pratique</cp:keywords>
  <cp:lastModifiedBy>Kappel, Alex (MAG)</cp:lastModifiedBy>
  <cp:revision>14</cp:revision>
  <cp:lastPrinted>2021-04-12T20:20:00Z</cp:lastPrinted>
  <dcterms:created xsi:type="dcterms:W3CDTF">2021-04-12T20:18:00Z</dcterms:created>
  <dcterms:modified xsi:type="dcterms:W3CDTF">2023-03-23T19:08:00Z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2023-03-21T19:33:46Z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696cb970-046a-48cb-a65e-dcc114960c53</vt:lpwstr>
  </property>
  <property fmtid="{D5CDD505-2E9C-101B-9397-08002B2CF9AE}" pid="8" name="MSIP_Label_034a106e-6316-442c-ad35-738afd673d2b_ContentBits">
    <vt:lpwstr>0</vt:lpwstr>
  </property>
</Properties>
</file>